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01072DAE" w:rsidR="006F3B7F" w:rsidRPr="007C1F48" w:rsidRDefault="007C1F48" w:rsidP="006F3B7F">
      <w:pPr>
        <w:spacing w:line="360" w:lineRule="auto"/>
        <w:rPr>
          <w:b/>
          <w:szCs w:val="24"/>
          <w:rFonts w:cs="Arial"/>
        </w:rPr>
      </w:pPr>
      <w:r>
        <w:rPr>
          <w:b/>
          <w:sz w:val="32"/>
        </w:rPr>
        <w:t xml:space="preserve">Minimalna masa własna i bezkompromisowa stabilność: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oferuje najlżejszą naczepę kurtynową Light</w:t>
      </w:r>
      <w:r>
        <w:rPr>
          <w:b/>
          <w:sz w:val="32"/>
          <w:vertAlign w:val="superscript"/>
        </w:rPr>
        <w:t xml:space="preserve">plus</w:t>
      </w:r>
      <w:r>
        <w:rPr>
          <w:b/>
          <w:sz w:val="32"/>
        </w:rPr>
        <w:t xml:space="preserve"> Rail przystosowaną do przeładunku kolejowego</w:t>
      </w:r>
    </w:p>
    <w:p w14:paraId="581D6473" w14:textId="77777777" w:rsidR="006F3B7F" w:rsidRDefault="006F3B7F" w:rsidP="006F3B7F">
      <w:pPr>
        <w:spacing w:line="360" w:lineRule="auto"/>
        <w:rPr>
          <w:rFonts w:cs="Arial"/>
          <w:b/>
        </w:rPr>
      </w:pPr>
    </w:p>
    <w:p w14:paraId="7AA379B9" w14:textId="77777777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26 kwietnia 2022 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702AC62A" w:rsidR="006F3B7F" w:rsidRDefault="007C1F48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Światowa premiera na targach IAA Transportation 2022:</w:t>
      </w:r>
      <w:r>
        <w:rPr>
          <w:b/>
        </w:rPr>
        <w:t xml:space="preserve"> </w:t>
      </w:r>
      <w:r>
        <w:rPr>
          <w:b/>
        </w:rPr>
        <w:t xml:space="preserve">Kögel Light</w:t>
      </w:r>
      <w:r>
        <w:rPr>
          <w:b/>
          <w:vertAlign w:val="superscript"/>
        </w:rPr>
        <w:t xml:space="preserve">plus</w:t>
      </w:r>
      <w:r>
        <w:rPr>
          <w:b/>
        </w:rPr>
        <w:t xml:space="preserve"> Rail to pierwsza lekka naczepa do transportu kombinowanego.</w:t>
      </w:r>
      <w:r>
        <w:rPr>
          <w:b/>
        </w:rPr>
        <w:t xml:space="preserve"> </w:t>
      </w:r>
      <w:r>
        <w:rPr>
          <w:b/>
        </w:rPr>
        <w:t xml:space="preserve">Zwiększenie ładowności o niemal tonę nie oznacza żadnych ograniczeń dla klientów w zakresie funkcjonalności i obsługi.</w:t>
      </w:r>
      <w:r>
        <w:rPr>
          <w:b/>
        </w:rPr>
        <w:t xml:space="preserve"> </w:t>
      </w:r>
      <w:r>
        <w:rPr>
          <w:b/>
        </w:rPr>
        <w:t xml:space="preserve">Naczepę prezentowaną na wystawie zoptymalizowano również pod względem aerodynamicznym, aby obniżyć emisję CO2.</w:t>
      </w:r>
      <w:r>
        <w:rPr>
          <w:b/>
        </w:rPr>
        <w:t xml:space="preserve"> 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0CDE5EB6" w14:textId="18EF66EE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Firma Kögel zaprezentuje na targach IAA Transportation 2022 pierwszą lekką naczepę przystosowaną do przeładunku kolejowego.</w:t>
      </w:r>
      <w:r>
        <w:t xml:space="preserve"> </w:t>
      </w:r>
      <w:r>
        <w:t xml:space="preserve">Naczepa Kögel Light</w:t>
      </w:r>
      <w:r>
        <w:rPr>
          <w:vertAlign w:val="superscript"/>
        </w:rPr>
        <w:t xml:space="preserve">plus</w:t>
      </w:r>
      <w:r>
        <w:t xml:space="preserve"> Rail oferuje ładowność większą o niemal tonę od innych standardowych wersji naczep, a dodatkowo łączy ekonomiczne i ekologiczne zalety pojazdów lekkiej konstrukcji z wykorzystaniem przyjaznego dla środowiska transportu kolejowego.</w:t>
      </w:r>
    </w:p>
    <w:p w14:paraId="49E42849" w14:textId="4FC6873B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W tym celu konstruktorzy z firmy Kögel zmodyfikowali gruntownie ramę naczepy Kögel Cargo Rail i upodobnili ją do konstrukcji lekkich pojazdów serii Light</w:t>
      </w:r>
      <w:r>
        <w:rPr>
          <w:vertAlign w:val="superscript"/>
        </w:rPr>
        <w:t xml:space="preserve">plus</w:t>
      </w:r>
      <w:r>
        <w:t xml:space="preserve">.</w:t>
      </w:r>
      <w:r>
        <w:t xml:space="preserve"> </w:t>
      </w:r>
      <w:r>
        <w:t xml:space="preserve">Głównie dzięki zastosowaniu stali o dużej wytrzymałości i zredukowaniu grubości materiału udało im się znacznie zmniejszyć masę własną naczepy, zachowując przy tym niezmiennie dużą obciążalność.</w:t>
      </w:r>
      <w:r>
        <w:t xml:space="preserve"> </w:t>
      </w:r>
    </w:p>
    <w:p w14:paraId="50EA4CE3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47948E89" w14:textId="77777777" w:rsidR="007C1F48" w:rsidRPr="003113D1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Już w wersji podstawowej masa jest o 300 kg mniejsza niż w modelu standardowym</w:t>
      </w:r>
    </w:p>
    <w:p w14:paraId="292CF117" w14:textId="587EDF5C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Naczepa Kögel Light</w:t>
      </w:r>
      <w:r>
        <w:rPr>
          <w:vertAlign w:val="superscript"/>
        </w:rPr>
        <w:t xml:space="preserve">plus</w:t>
      </w:r>
      <w:r>
        <w:t xml:space="preserve"> Rail w wyposażeniu podstawowym ma masę 6060 kg i jest blisko 300 kg lżejsza od standardowej naczepy Kögel Cargo Rail.</w:t>
      </w:r>
      <w:r>
        <w:t xml:space="preserve"> </w:t>
      </w:r>
      <w:r>
        <w:t xml:space="preserve">Model ten zalicza się już i tak do najlżejszych pojazdów w swojej klasie, a jego masa jest około 200 kg mniejsza od porównywalnych pojazdów oferowanych przez konkurencję.</w:t>
      </w:r>
      <w:r>
        <w:t xml:space="preserve"> </w:t>
      </w:r>
      <w:r>
        <w:t xml:space="preserve">Po zastosowaniu opcjonalnych, lekkich elementów konstrukcyjnych, jak wykonane z aluminium obręcze kół, zbiorniki powietrza i podpory siodła, można obniżyć masę własną naczepy Light</w:t>
      </w:r>
      <w:r>
        <w:rPr>
          <w:vertAlign w:val="superscript"/>
        </w:rPr>
        <w:t xml:space="preserve">plus</w:t>
      </w:r>
      <w:r>
        <w:t xml:space="preserve"> Rail do 5750 kg.</w:t>
      </w:r>
    </w:p>
    <w:p w14:paraId="3C29D898" w14:textId="0884DD69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Jest to doskonały rezultat, ponieważ naczepy przystosowane do przeładunku kolejowego są z reguły znacznie cięższe od naczep przeznaczonych wyłącznie do transportu drogowego.</w:t>
      </w:r>
      <w:r>
        <w:t xml:space="preserve"> </w:t>
      </w:r>
      <w:r>
        <w:t xml:space="preserve">Wynika to ze specjalnie wzmocnionych punktów mocowania w wersji transportu kombinowanego, które w terminalach kontenerowych pozwalają dźwigom podnieść pojazd w czterech punktach, za tzw. krawędzie chwytne i umieścić na wagonie kieszeniowym.</w:t>
      </w:r>
    </w:p>
    <w:p w14:paraId="2C6725DF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0C24B003" w14:textId="77777777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Mniejsza masa własna przekłada się na wymierną oszczędność paliwa</w:t>
      </w:r>
    </w:p>
    <w:p w14:paraId="768107F4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Większa masa własna zmniejsza ładowność naczepy.</w:t>
      </w:r>
      <w:r>
        <w:t xml:space="preserve"> </w:t>
      </w:r>
      <w:r>
        <w:t xml:space="preserve">Wprawdzie obowiązują regulacje wyjątkowe dla pojazdów w transporcie kombinowanym, które pozwalają na zwiększenie dopuszczalnej masy całkowitej do 44 ton między punktem załadunku i rozładunku a najbliższą stacją kolejową, aby zrekompensować tę niedogodność.</w:t>
      </w:r>
      <w:r>
        <w:t xml:space="preserve"> </w:t>
      </w:r>
      <w:r>
        <w:t xml:space="preserve">Jednak regulacja ta nie rekompensuje zwiększonego zużycia paliwa przez ciągnik podczas przejazdu wskutek większej masy zestawu.</w:t>
      </w:r>
    </w:p>
    <w:p w14:paraId="4F1B0391" w14:textId="1980F444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W związku z mniejszą masą własną naczepa Kögel Light</w:t>
      </w:r>
      <w:r>
        <w:rPr>
          <w:vertAlign w:val="superscript"/>
        </w:rPr>
        <w:t xml:space="preserve">plus</w:t>
      </w:r>
      <w:r>
        <w:t xml:space="preserve"> Rail oferuje nie tylko większą ładowność na trasie przewozu, ale pozwala również na oszczędność paliwa, a tym samym zmniejsza ślad CO</w:t>
      </w:r>
      <w:r>
        <w:rPr>
          <w:vertAlign w:val="subscript"/>
        </w:rPr>
        <w:t xml:space="preserve">2</w:t>
      </w:r>
      <w:r>
        <w:t xml:space="preserve">, który bezpośrednio wiąże się ze zużyciem paliwa.</w:t>
      </w:r>
      <w:r>
        <w:t xml:space="preserve"> </w:t>
      </w:r>
      <w:r>
        <w:t xml:space="preserve">Z niezależnych źródeł wynika, że zmniejszenie masy o jedną tonę umożliwia oszczędność oleju napędowego na poziomie 0,6 l / 100 km</w:t>
      </w:r>
      <w:r>
        <w:rPr>
          <w:rStyle w:val="Funotenzeichen"/>
          <w:rFonts w:cs="Arial"/>
          <w:szCs w:val="24"/>
        </w:rPr>
        <w:footnoteReference w:id="1"/>
      </w:r>
      <w:r>
        <w:t xml:space="preserve">.</w:t>
      </w:r>
      <w:r>
        <w:t xml:space="preserve"> </w:t>
      </w:r>
      <w:r>
        <w:t xml:space="preserve">Powyższe dane potwierdzają również wstępne obliczenia przy użyciu programu VECTO (Vehicle Emission Calculation Tool), narzędzia Komisji Europejskiej do symulacji i określania emisji CO</w:t>
      </w:r>
      <w:r>
        <w:rPr>
          <w:vertAlign w:val="subscript"/>
        </w:rPr>
        <w:t xml:space="preserve">2</w:t>
      </w:r>
      <w:r>
        <w:t xml:space="preserve"> oraz zużycia paliwa przez ciężkie pojazdy użytkowe.</w:t>
      </w:r>
    </w:p>
    <w:p w14:paraId="5A64A91E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62B8BCC3" w14:textId="200D2DF6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Transport na wagonach kieszeniowych jest możliwy nawet z wyposażeniem podstawowym</w:t>
      </w:r>
    </w:p>
    <w:p w14:paraId="642E6F03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Mimo lekkiej konstrukcji naczepy klienci nie muszą obawiać się żadnych ograniczeń w zakresie wykorzystania czy użytkowania pojazdu.</w:t>
      </w:r>
      <w:r>
        <w:t xml:space="preserve"> </w:t>
      </w:r>
      <w:r>
        <w:t xml:space="preserve">W porównaniu z tradycyjnymi modelami przystosowanymi do transportu kolejowego naczepa nie ma żadnych mankamentów.</w:t>
      </w:r>
      <w:r>
        <w:t xml:space="preserve"> </w:t>
      </w:r>
      <w:r>
        <w:t xml:space="preserve">Nawet pojazdy z wyposażeniem podstawowym można przewozić na najpopularniejszych wagonach kieszeniowych typu c, e, f, g, h oraz i. Na życzenie klienta naczepa Light</w:t>
      </w:r>
      <w:r>
        <w:rPr>
          <w:vertAlign w:val="superscript"/>
        </w:rPr>
        <w:t xml:space="preserve">plus</w:t>
      </w:r>
      <w:r>
        <w:t xml:space="preserve"> Rail jest dostępna ze składanym zabezpieczeniem przeciwwjazdowym na sprężynach gazowych.</w:t>
      </w:r>
      <w:r>
        <w:t xml:space="preserve"> </w:t>
      </w:r>
      <w:r>
        <w:t xml:space="preserve">Po złożeniu zyskuje się wolne miejsce, co umożliwia załadunek również na wagony kieszeniowe typu a oraz d.</w:t>
      </w:r>
    </w:p>
    <w:p w14:paraId="511CB541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Dzięki modułowej konstrukcji naczep firmy Kögel wszystkie warianty wyposażenia w wersji Cargo Rail są dostępne również w wersji Light</w:t>
      </w:r>
      <w:r>
        <w:rPr>
          <w:vertAlign w:val="superscript"/>
        </w:rPr>
        <w:t xml:space="preserve">plus</w:t>
      </w:r>
      <w:r>
        <w:t xml:space="preserve"> Rail.</w:t>
      </w:r>
      <w:r>
        <w:t xml:space="preserve"> </w:t>
      </w:r>
      <w:r>
        <w:t xml:space="preserve">Zalicza się tu rozwiązania branżowe z wyposażeniem do przewozu papieru lub kieszeniami na kłonice do transportu stali oraz podwójną kodyfikację nadwozi FlexiUse.</w:t>
      </w:r>
      <w:r>
        <w:t xml:space="preserve"> </w:t>
      </w:r>
    </w:p>
    <w:p w14:paraId="6465AEB0" w14:textId="500AB1E1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Pojazd prezentowany na targach został wyposażony we wzmocnione nadwozie Strong &amp; Go, które przy zwartej formacji ładunku, np. napojów, umożliwia wyjątkowe łatwe zabezpieczenie ładunku, a także spełnia wytyczne Daimler 9.5 bez listew wkładanych.</w:t>
      </w:r>
      <w:r>
        <w:t xml:space="preserve"> </w:t>
      </w:r>
      <w:r>
        <w:t xml:space="preserve">Ponadto pojazd jest wyposażony w oś naczepową Kögel KTA NOVUM w wersji Rail z dzielonym miechem pneumatycznym do załadunku kolejowego.</w:t>
      </w:r>
    </w:p>
    <w:p w14:paraId="2BEB85A8" w14:textId="77777777" w:rsidR="007C1F48" w:rsidRDefault="007C1F48" w:rsidP="007C1F48">
      <w:pPr>
        <w:spacing w:line="360" w:lineRule="auto"/>
        <w:rPr>
          <w:rFonts w:cs="Arial"/>
          <w:szCs w:val="24"/>
        </w:rPr>
      </w:pPr>
    </w:p>
    <w:p w14:paraId="05735135" w14:textId="77777777" w:rsidR="007C1F48" w:rsidRPr="009529EA" w:rsidRDefault="007C1F48" w:rsidP="007C1F48">
      <w:pPr>
        <w:spacing w:line="360" w:lineRule="auto"/>
        <w:rPr>
          <w:b/>
          <w:szCs w:val="24"/>
          <w:rFonts w:cs="Arial"/>
        </w:rPr>
      </w:pPr>
      <w:r>
        <w:rPr>
          <w:b/>
        </w:rPr>
        <w:t xml:space="preserve">Ekspozycyjny pojazd targowy z osłoną aerodynamiczną OptiFlow</w:t>
      </w:r>
    </w:p>
    <w:p w14:paraId="33FF0332" w14:textId="77777777" w:rsidR="007C1F48" w:rsidRDefault="007C1F48" w:rsidP="007C1F48">
      <w:pPr>
        <w:spacing w:line="360" w:lineRule="auto"/>
        <w:rPr>
          <w:szCs w:val="24"/>
          <w:rFonts w:cs="Arial"/>
        </w:rPr>
      </w:pPr>
      <w:r>
        <w:t xml:space="preserve">Goście obecni na targach będą mogli zobaczyć na naczepie Light</w:t>
      </w:r>
      <w:r>
        <w:rPr>
          <w:vertAlign w:val="superscript"/>
        </w:rPr>
        <w:t xml:space="preserve">plus</w:t>
      </w:r>
      <w:r>
        <w:t xml:space="preserve"> Rail również zamontowaną z tyłu owiewkę OptiFlow Tail.</w:t>
      </w:r>
      <w:r>
        <w:t xml:space="preserve"> </w:t>
      </w:r>
      <w:r>
        <w:t xml:space="preserve">Zamontowany system optymalizuje aerodynamikę z tyłu naczepy i zmniejsza zużycie paliwa przez ciągnik – szczególnie przy dużej prędkości – nawet o 1,1 l / 100 km, a także emisję CO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Osoba kontaktowa w sprawie tej informacji prasowej: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693AD234" w14:textId="0E6251B3" w:rsidR="00C75990" w:rsidRPr="0005708B" w:rsidRDefault="0005708B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0BE132" w14:textId="51494A12" w:rsidR="00380C46" w:rsidRPr="00C173E0" w:rsidRDefault="0005708B" w:rsidP="00380C4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marketingu, Public Relations i kontaktów z prasą</w:t>
      </w:r>
    </w:p>
    <w:p w14:paraId="41C82D97" w14:textId="3F51D963" w:rsidR="00C75990" w:rsidRPr="00143C8E" w:rsidRDefault="00C75990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07D4226E" w14:textId="51A2148E" w:rsidR="00C75990" w:rsidRPr="00C75990" w:rsidRDefault="0005708B" w:rsidP="00C75990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  <w:footnote w:id="1">
    <w:p w14:paraId="410CF837" w14:textId="6782A1AA" w:rsidR="007C1F48" w:rsidRPr="005F1C26" w:rsidRDefault="007C1F48" w:rsidP="007C1F48">
      <w:pPr>
        <w:spacing w:line="360" w:lineRule="auto"/>
        <w:rPr>
          <w:sz w:val="18"/>
          <w:szCs w:val="18"/>
          <w:rFonts w:cs="Arial"/>
        </w:rPr>
      </w:pPr>
      <w:r>
        <w:rPr>
          <w:rStyle w:val="Funotenzeichen"/>
        </w:rPr>
        <w:footnoteRef/>
      </w:r>
      <w:r>
        <w:rPr>
          <w:sz w:val="18"/>
        </w:rPr>
        <w:t xml:space="preserve">Raport BASt, zeszyt F 103:</w:t>
      </w:r>
      <w:r>
        <w:rPr>
          <w:sz w:val="18"/>
        </w:rPr>
        <w:t xml:space="preserve"> </w:t>
      </w:r>
      <w:r>
        <w:rPr>
          <w:sz w:val="18"/>
        </w:rPr>
        <w:t xml:space="preserve">„Techniczne możliwości redukcji emisji CO</w:t>
      </w:r>
      <w:r>
        <w:rPr>
          <w:sz w:val="18"/>
          <w:vertAlign w:val="subscript"/>
        </w:rPr>
        <w:t xml:space="preserve">2</w:t>
      </w:r>
      <w:r>
        <w:rPr>
          <w:sz w:val="18"/>
        </w:rPr>
        <w:t xml:space="preserve"> przez pojazdy użytkowe”, 2015)</w:t>
      </w:r>
    </w:p>
    <w:p w14:paraId="0DCBF16B" w14:textId="299B2568" w:rsidR="007C1F48" w:rsidRDefault="007C1F48">
      <w:pPr>
        <w:pStyle w:val="Funoten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08B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1F48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E4CD0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C1F4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C1F4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7C1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6205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Thomas Rosenberger</cp:lastModifiedBy>
  <cp:revision>3</cp:revision>
  <cp:lastPrinted>2018-01-09T20:19:00Z</cp:lastPrinted>
  <dcterms:created xsi:type="dcterms:W3CDTF">2022-07-06T15:56:00Z</dcterms:created>
  <dcterms:modified xsi:type="dcterms:W3CDTF">2022-07-07T09:30:00Z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