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28971B93" w:rsidR="006F3B7F" w:rsidRPr="00DE02D9" w:rsidRDefault="000D19DF" w:rsidP="006F3B7F">
      <w:pPr>
        <w:spacing w:line="360" w:lineRule="auto"/>
        <w:rPr>
          <w:b/>
          <w:sz w:val="32"/>
          <w:szCs w:val="32"/>
          <w:rFonts w:cs="Arial"/>
        </w:rPr>
      </w:pPr>
      <w:r>
        <w:rPr>
          <w:b/>
          <w:sz w:val="32"/>
        </w:rPr>
        <w:t xml:space="preserve">Kögel Multi Container Stop: la revolución en el transporte de contenedores</w:t>
      </w:r>
    </w:p>
    <w:p w14:paraId="581D6473" w14:textId="77777777" w:rsidR="006F3B7F" w:rsidRPr="00DE02D9" w:rsidRDefault="006F3B7F" w:rsidP="006F3B7F">
      <w:pPr>
        <w:spacing w:line="360" w:lineRule="auto"/>
        <w:rPr>
          <w:rFonts w:cs="Arial"/>
          <w:b/>
          <w:lang w:val="en-GB"/>
        </w:rPr>
      </w:pPr>
    </w:p>
    <w:p w14:paraId="7AA379B9" w14:textId="6FBA9260" w:rsidR="006F3B7F" w:rsidRDefault="000D19DF" w:rsidP="006F3B7F">
      <w:pPr>
        <w:spacing w:after="120" w:line="360" w:lineRule="auto"/>
        <w:jc w:val="both"/>
        <w:rPr>
          <w:b/>
          <w:szCs w:val="24"/>
          <w:rFonts w:cs="Arial"/>
        </w:rPr>
      </w:pPr>
      <w:r>
        <w:rPr>
          <w:b/>
        </w:rPr>
        <w:t xml:space="preserve">Hanóver, 19 de septiembre de 2022</w:t>
      </w:r>
    </w:p>
    <w:p w14:paraId="6C81A843" w14:textId="77777777" w:rsidR="006F3B7F" w:rsidRDefault="006F3B7F" w:rsidP="006F3B7F">
      <w:pPr>
        <w:spacing w:after="120" w:line="360" w:lineRule="auto"/>
        <w:jc w:val="both"/>
        <w:rPr>
          <w:rFonts w:cs="Arial"/>
          <w:b/>
          <w:szCs w:val="24"/>
        </w:rPr>
      </w:pPr>
    </w:p>
    <w:p w14:paraId="45210E7F" w14:textId="3FF665C1" w:rsidR="006F3B7F" w:rsidRDefault="000D19DF" w:rsidP="006F3B7F">
      <w:pPr>
        <w:autoSpaceDE w:val="0"/>
        <w:autoSpaceDN w:val="0"/>
        <w:adjustRightInd w:val="0"/>
        <w:spacing w:line="360" w:lineRule="auto"/>
        <w:jc w:val="both"/>
        <w:rPr>
          <w:b/>
          <w:szCs w:val="24"/>
          <w:rFonts w:eastAsia="TradeGothic" w:cs="Arial"/>
        </w:rPr>
      </w:pPr>
      <w:r>
        <w:rPr>
          <w:b/>
        </w:rPr>
        <w:t xml:space="preserve">El sistema Multi Container Stop de Kögel facilita notablemente el transporte de cajas móviles por carretera.</w:t>
      </w:r>
      <w:r>
        <w:rPr>
          <w:b/>
        </w:rPr>
        <w:t xml:space="preserve"> </w:t>
      </w:r>
      <w:r>
        <w:rPr>
          <w:b/>
        </w:rPr>
        <w:t xml:space="preserve">En comparación con los sistemas de bloqueo convencionales para contenedores, tiene un manejo totalmente intuitivo, mejora considerablemente la comodidad y la seguridad en el trabajo y además ofrece una clara ventaja en lo que se refiere a la carga útil.</w:t>
      </w:r>
      <w:r>
        <w:rPr>
          <w:b/>
        </w:rPr>
        <w:t xml:space="preserve"> </w:t>
      </w:r>
      <w:r>
        <w:rPr>
          <w:b/>
        </w:rPr>
        <w:t xml:space="preserve">Además, toda la serie Port ahora es notablemente más ligera gracias a la nueva generación de chasis.</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406C19F2" w14:textId="1A5E7E26" w:rsidR="000D19DF" w:rsidRDefault="000D19DF" w:rsidP="000D19DF">
      <w:pPr>
        <w:autoSpaceDE w:val="0"/>
        <w:autoSpaceDN w:val="0"/>
        <w:adjustRightInd w:val="0"/>
        <w:spacing w:line="360" w:lineRule="auto"/>
        <w:jc w:val="both"/>
        <w:rPr>
          <w:szCs w:val="24"/>
          <w:rFonts w:eastAsia="TradeGothic" w:cs="Arial"/>
        </w:rPr>
      </w:pPr>
      <w:r>
        <w:t xml:space="preserve">El concepto del Multi Container Stop (MCS) de Kögel es tan sencillo como genial, una auténtica revolución en el transporte por carretera de cajas móviles de todo tipo.</w:t>
      </w:r>
      <w:r>
        <w:t xml:space="preserve"> </w:t>
      </w:r>
      <w:r>
        <w:t xml:space="preserve">Con el MCS se puede prescindir de los habituales mecanismos de bloqueo situados en la parte delantera del chasis, que se denominan twist locks.</w:t>
      </w:r>
      <w:r>
        <w:t xml:space="preserve"> </w:t>
      </w:r>
      <w:r>
        <w:t xml:space="preserve">A partir de ahora, la fijación de la carga tiene lugar exclusivamente mediante unión continua, que ha demostrado ser la mejor forma de fijar la carga según la norma DIN EN 12642.</w:t>
      </w:r>
      <w:r>
        <w:t xml:space="preserve"> </w:t>
      </w:r>
    </w:p>
    <w:p w14:paraId="361A3938" w14:textId="77777777" w:rsidR="003B0BDC" w:rsidRPr="000D19DF" w:rsidRDefault="003B0BDC" w:rsidP="000D19DF">
      <w:pPr>
        <w:autoSpaceDE w:val="0"/>
        <w:autoSpaceDN w:val="0"/>
        <w:adjustRightInd w:val="0"/>
        <w:spacing w:line="360" w:lineRule="auto"/>
        <w:jc w:val="both"/>
        <w:rPr>
          <w:rFonts w:eastAsia="TradeGothic" w:cs="Arial"/>
          <w:szCs w:val="24"/>
        </w:rPr>
      </w:pPr>
    </w:p>
    <w:p w14:paraId="0E2C251F"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Al contrario de lo que sucede con los sistemas de bloqueo para contenedores del mercado, el MCS de Kögel tiene un uso intuitivo.</w:t>
      </w:r>
      <w:r>
        <w:t xml:space="preserve"> </w:t>
      </w:r>
      <w:r>
        <w:t xml:space="preserve">No es posible manejarlo mal, porque ya no es necesario accionar el amarre delantero.</w:t>
      </w:r>
      <w:r>
        <w:t xml:space="preserve"> </w:t>
      </w:r>
      <w:r>
        <w:t xml:space="preserve">Al colocarlo, los contenedores High Cube automáticamente hacen tope en el travesaño delantero y de este modo quedan asegurados mediante unión positiva, como dicta la normativa.</w:t>
      </w:r>
      <w:r>
        <w:t xml:space="preserve"> </w:t>
      </w:r>
      <w:r>
        <w:t xml:space="preserve">De la fijación de la carga por el lateral se encarga el túnel del contenedor.</w:t>
      </w:r>
      <w:r>
        <w:t xml:space="preserve"> </w:t>
      </w:r>
      <w:r>
        <w:t xml:space="preserve">En el caso de los contenedores ISO sin túnel, esta fijación se produce mediante un pivote situado en la parte superior del MSC, que absorbe las fuerzas en la dirección de la marcha y de forma transversal a la dirección de marcha.</w:t>
      </w:r>
      <w:r>
        <w:t xml:space="preserve"> </w:t>
      </w:r>
    </w:p>
    <w:p w14:paraId="4E98BF52"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4F09B4F"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El manejo intuitivo del Multi Container Stop evita un manejo incorrecto</w:t>
      </w:r>
    </w:p>
    <w:p w14:paraId="2D82FC78" w14:textId="2711E2C6" w:rsidR="000D19DF" w:rsidRDefault="000D19DF" w:rsidP="000D19DF">
      <w:pPr>
        <w:autoSpaceDE w:val="0"/>
        <w:autoSpaceDN w:val="0"/>
        <w:adjustRightInd w:val="0"/>
        <w:spacing w:line="360" w:lineRule="auto"/>
        <w:jc w:val="both"/>
        <w:rPr>
          <w:szCs w:val="24"/>
          <w:rFonts w:eastAsia="TradeGothic" w:cs="Arial"/>
        </w:rPr>
      </w:pPr>
      <w:r>
        <w:t xml:space="preserve">Ya no hay que realizar el tedioso trabajo de ajuste de los alojamientos frontales, los pasadores o los amarres en la parte delantera del chasis del contenedor, como es necesario al utilizar twist locks para asegurar los distintos tipos de contenedor.</w:t>
      </w:r>
      <w:r>
        <w:t xml:space="preserve"> </w:t>
      </w:r>
      <w:r>
        <w:t xml:space="preserve">Además, debido a su construcción maciza y, por lo tanto, su elevado peso, el manejo de los sistemas de bloqueo convencionales es un duro trabajo para el conductor.</w:t>
      </w:r>
      <w:r>
        <w:t xml:space="preserve"> </w:t>
      </w:r>
      <w:r>
        <w:t xml:space="preserve">Esto ofrece un gran margen para que se produzcan fallos de manejo y accidentes.</w:t>
      </w:r>
      <w:r>
        <w:t xml:space="preserve"> </w:t>
      </w:r>
      <w:r>
        <w:t xml:space="preserve">Encima de eso, la manipulación de las extensiones laterales, los brazos basculantes laterales y otros componentes requiere mucho tiempo.</w:t>
      </w:r>
      <w:r>
        <w:t xml:space="preserve"> </w:t>
      </w:r>
    </w:p>
    <w:p w14:paraId="7435A011" w14:textId="77777777" w:rsidR="003B0BDC" w:rsidRPr="000D19DF" w:rsidRDefault="003B0BDC" w:rsidP="000D19DF">
      <w:pPr>
        <w:autoSpaceDE w:val="0"/>
        <w:autoSpaceDN w:val="0"/>
        <w:adjustRightInd w:val="0"/>
        <w:spacing w:line="360" w:lineRule="auto"/>
        <w:jc w:val="both"/>
        <w:rPr>
          <w:rFonts w:eastAsia="TradeGothic" w:cs="Arial"/>
          <w:szCs w:val="24"/>
        </w:rPr>
      </w:pPr>
    </w:p>
    <w:p w14:paraId="151C481C"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Los elementos de bloqueo en la parte trasera son como los habituales.</w:t>
      </w:r>
      <w:r>
        <w:t xml:space="preserve"> </w:t>
      </w:r>
      <w:r>
        <w:t xml:space="preserve">Fijan la carga en el sentido contrario a la dirección de marcha y contribuyen a absorber las fuerzas laterales que se producen.</w:t>
      </w:r>
      <w:r>
        <w:t xml:space="preserve"> </w:t>
      </w:r>
      <w:r>
        <w:t xml:space="preserve">Con la combinación del MCS de Kögel en la parte delantera y los elementos de bloqueo habituales en la parte trasera del chasis, el conductor necesita como mucho la mitad de tiempo para fijar la caja móvil.</w:t>
      </w:r>
    </w:p>
    <w:p w14:paraId="79071CB4" w14:textId="77777777" w:rsidR="000D19DF" w:rsidRPr="000D19DF" w:rsidRDefault="000D19DF" w:rsidP="000D19DF">
      <w:pPr>
        <w:autoSpaceDE w:val="0"/>
        <w:autoSpaceDN w:val="0"/>
        <w:adjustRightInd w:val="0"/>
        <w:spacing w:line="360" w:lineRule="auto"/>
        <w:jc w:val="both"/>
        <w:rPr>
          <w:rFonts w:eastAsia="TradeGothic" w:cs="Arial"/>
          <w:szCs w:val="24"/>
        </w:rPr>
      </w:pPr>
    </w:p>
    <w:p w14:paraId="20E530FC" w14:textId="77777777" w:rsidR="000D19DF" w:rsidRPr="000D19DF" w:rsidRDefault="000D19DF" w:rsidP="000D19DF">
      <w:pPr>
        <w:autoSpaceDE w:val="0"/>
        <w:autoSpaceDN w:val="0"/>
        <w:adjustRightInd w:val="0"/>
        <w:spacing w:line="360" w:lineRule="auto"/>
        <w:jc w:val="both"/>
        <w:rPr>
          <w:b/>
          <w:szCs w:val="24"/>
          <w:rFonts w:eastAsia="TradeGothic" w:cs="Arial"/>
        </w:rPr>
      </w:pPr>
      <w:r>
        <w:rPr>
          <w:b/>
        </w:rPr>
        <w:t xml:space="preserve">Bajo coste operativo, nada de reparaciones</w:t>
      </w:r>
    </w:p>
    <w:p w14:paraId="1394F650" w14:textId="484A99B9" w:rsidR="000D19DF" w:rsidRDefault="000D19DF" w:rsidP="000D19DF">
      <w:pPr>
        <w:autoSpaceDE w:val="0"/>
        <w:autoSpaceDN w:val="0"/>
        <w:adjustRightInd w:val="0"/>
        <w:spacing w:line="360" w:lineRule="auto"/>
        <w:jc w:val="both"/>
        <w:rPr>
          <w:szCs w:val="24"/>
          <w:rFonts w:eastAsia="TradeGothic" w:cs="Arial"/>
        </w:rPr>
      </w:pPr>
      <w:r>
        <w:t xml:space="preserve">Este sistema también ofrece otras ventajas importantes para los empresarios transportistas.</w:t>
      </w:r>
      <w:r>
        <w:t xml:space="preserve"> </w:t>
      </w:r>
      <w:r>
        <w:t xml:space="preserve">Gracias a su diseño compacto, el MCS proporciona espacio donde más urgentemente se necesita: en la zona de giro entre el contenedor y el vehículo tractor.</w:t>
      </w:r>
      <w:r>
        <w:t xml:space="preserve"> </w:t>
      </w:r>
      <w:r>
        <w:t xml:space="preserve">Esto reduce el riesgo de que el vehículo tractor sufra daños.</w:t>
      </w:r>
      <w:r>
        <w:t xml:space="preserve"> </w:t>
      </w:r>
      <w:r>
        <w:t xml:space="preserve">Al mismo tiempo, el sistema también se puede utilizar con equipos de baja altura en la zona del cuello de ganso.</w:t>
      </w:r>
      <w:r>
        <w:t xml:space="preserve"> </w:t>
      </w:r>
      <w:r>
        <w:t xml:space="preserve">Dado que el MCS no tiene piezas móviles, las complicadas y costosas reparaciones ya son cosa del pasado.</w:t>
      </w:r>
    </w:p>
    <w:p w14:paraId="70F81742"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4BA0878" w14:textId="77777777" w:rsidR="000D19DF" w:rsidRPr="000D19DF" w:rsidRDefault="000D19DF" w:rsidP="000D19DF">
      <w:pPr>
        <w:autoSpaceDE w:val="0"/>
        <w:autoSpaceDN w:val="0"/>
        <w:adjustRightInd w:val="0"/>
        <w:spacing w:line="360" w:lineRule="auto"/>
        <w:jc w:val="both"/>
        <w:rPr>
          <w:szCs w:val="24"/>
          <w:rFonts w:eastAsia="TradeGothic" w:cs="Arial"/>
        </w:rPr>
      </w:pPr>
      <w:r>
        <w:t xml:space="preserve">Con el MCS, Kögel facilita considerablemente el transporte de cajas móviles y aumenta el atractivo del transporte multimodal, que es respetuoso con el medio ambiente.</w:t>
      </w:r>
      <w:r>
        <w:t xml:space="preserve"> </w:t>
      </w:r>
      <w:r>
        <w:t xml:space="preserve">Esto ofrece ventajas para el medio ambiente y para la eficiencia en el transporte, tal y como promete Kögel con el lema de la empresa: "Economy meets Ecology – Because we care".</w:t>
      </w:r>
      <w:r>
        <w:t xml:space="preserve"> </w:t>
      </w:r>
      <w:r>
        <w:t xml:space="preserve">Este sistema está disponible para todos los chasis de contenedor de la generación tecnológica actual, para la serie de remolques Combi y para todos los vehículos de plataforma de Kögel.</w:t>
      </w:r>
      <w:r>
        <w:t xml:space="preserve"> </w:t>
      </w:r>
    </w:p>
    <w:p w14:paraId="7FE3C047" w14:textId="77777777" w:rsidR="000D19DF" w:rsidRPr="000D19DF" w:rsidRDefault="000D19DF" w:rsidP="000D19DF">
      <w:pPr>
        <w:autoSpaceDE w:val="0"/>
        <w:autoSpaceDN w:val="0"/>
        <w:adjustRightInd w:val="0"/>
        <w:spacing w:line="360" w:lineRule="auto"/>
        <w:jc w:val="both"/>
        <w:rPr>
          <w:rFonts w:eastAsia="TradeGothic" w:cs="Arial"/>
          <w:szCs w:val="24"/>
        </w:rPr>
      </w:pPr>
    </w:p>
    <w:p w14:paraId="5F545815" w14:textId="77777777" w:rsidR="000D19DF" w:rsidRPr="000D19DF" w:rsidRDefault="000D19DF" w:rsidP="000D19DF">
      <w:pPr>
        <w:autoSpaceDE w:val="0"/>
        <w:autoSpaceDN w:val="0"/>
        <w:adjustRightInd w:val="0"/>
        <w:spacing w:line="360" w:lineRule="auto"/>
        <w:jc w:val="both"/>
        <w:rPr>
          <w:b/>
          <w:szCs w:val="24"/>
          <w:rFonts w:eastAsia="TradeGothic" w:cs="Arial"/>
        </w:rPr>
      </w:pPr>
      <w:r>
        <w:rPr>
          <w:b/>
        </w:rPr>
        <w:t xml:space="preserve">La nueva generación de la serie Port ofrece una carga útil claramente superior</w:t>
      </w:r>
    </w:p>
    <w:p w14:paraId="41C3F3DF" w14:textId="78A142FF" w:rsidR="000D19DF" w:rsidRDefault="000D19DF" w:rsidP="000D19DF">
      <w:pPr>
        <w:autoSpaceDE w:val="0"/>
        <w:autoSpaceDN w:val="0"/>
        <w:adjustRightInd w:val="0"/>
        <w:spacing w:line="360" w:lineRule="auto"/>
        <w:jc w:val="both"/>
        <w:rPr>
          <w:szCs w:val="24"/>
          <w:rFonts w:eastAsia="TradeGothic" w:cs="Arial"/>
        </w:rPr>
      </w:pPr>
      <w:r>
        <w:t xml:space="preserve">En la feria IAA, Kögel mostrará el sistema Multi Container Stop en un chasis de contenedor Port 45 Duplex con extensión delantera y trasera para contenedores ISO y HighCube con tamaños de 20 a 45 pies.</w:t>
      </w:r>
      <w:r>
        <w:t xml:space="preserve"> </w:t>
      </w:r>
      <w:r>
        <w:t xml:space="preserve">A partir de la feria, todas las series de chasis estarán basadas en la nueva generación de chasis, de la que hasta ahora solo se beneficiaba el galardonado chasis multifuncional Port 45 Triplex.</w:t>
      </w:r>
      <w:r>
        <w:t xml:space="preserve"> </w:t>
      </w:r>
      <w:r>
        <w:t xml:space="preserve">Asimismo, ahora todos los chasis de contenedores contarán con una prolongación delantera gracias a la extensión frontal de Kögel, muy ligera y con escaso mantenimiento, que ha demostrado su valía con creces en el Port 45 Triplex.</w:t>
      </w:r>
    </w:p>
    <w:p w14:paraId="5D9432EF" w14:textId="77777777" w:rsidR="003B0BDC" w:rsidRPr="000D19DF" w:rsidRDefault="003B0BDC" w:rsidP="000D19DF">
      <w:pPr>
        <w:autoSpaceDE w:val="0"/>
        <w:autoSpaceDN w:val="0"/>
        <w:adjustRightInd w:val="0"/>
        <w:spacing w:line="360" w:lineRule="auto"/>
        <w:jc w:val="both"/>
        <w:rPr>
          <w:rFonts w:eastAsia="TradeGothic" w:cs="Arial"/>
          <w:szCs w:val="24"/>
        </w:rPr>
      </w:pPr>
    </w:p>
    <w:p w14:paraId="5FE88ABD" w14:textId="156F8E7A" w:rsidR="00182933" w:rsidRDefault="000D19DF" w:rsidP="000D19DF">
      <w:pPr>
        <w:autoSpaceDE w:val="0"/>
        <w:autoSpaceDN w:val="0"/>
        <w:adjustRightInd w:val="0"/>
        <w:spacing w:line="360" w:lineRule="auto"/>
        <w:jc w:val="both"/>
        <w:rPr>
          <w:szCs w:val="24"/>
          <w:rFonts w:eastAsia="TradeGothic" w:cs="Arial"/>
        </w:rPr>
      </w:pPr>
      <w:r>
        <w:t xml:space="preserve">Con este cambio, todos los modelos de la serie Port tendrán un peso considerablemente menor en el futuro.</w:t>
      </w:r>
      <w:r>
        <w:t xml:space="preserve"> </w:t>
      </w:r>
      <w:r>
        <w:t xml:space="preserve">Este progreso ha sido posible gracias a la completa actualización del diseño constructivo, al uso de aceros de alta resistencia, que reduce el grosor del material y a la extensión frontal, desarrollada por nosotros.</w:t>
      </w:r>
      <w:r>
        <w:t xml:space="preserve"> </w:t>
      </w:r>
      <w:r>
        <w:t xml:space="preserve">En el equipamiento básico, la ventaja en el peso respecto a los modelos anteriores oscila entre 400 kg para los modelos que cuentan exclusivamente con extensión trasera (Simplex) y 700 kg para los modelos con extensión delantera y trasera (Duplex).</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b/>
          <w:sz w:val="22"/>
          <w:szCs w:val="22"/>
          <w:rFonts w:eastAsia="TradeGothic" w:cs="Arial"/>
        </w:rPr>
      </w:pPr>
      <w:r>
        <w:rPr>
          <w:b/>
          <w:sz w:val="22"/>
        </w:rPr>
        <w:t xml:space="preserve">Perfil de la empresa</w:t>
      </w:r>
    </w:p>
    <w:p w14:paraId="1C24AD03" w14:textId="56DF337F" w:rsidR="004340F1" w:rsidRDefault="00380C46" w:rsidP="004340F1">
      <w:pPr>
        <w:spacing w:line="360" w:lineRule="auto"/>
        <w:jc w:val="both"/>
        <w:rPr>
          <w:sz w:val="22"/>
          <w:szCs w:val="24"/>
        </w:rPr>
      </w:pPr>
      <w:r>
        <w:rPr>
          <w:sz w:val="22"/>
        </w:rPr>
        <w:t xml:space="preserve">Kögel es uno de los principales fabricantes de semirremolques de Europa.</w:t>
      </w:r>
      <w:r>
        <w:rPr>
          <w:sz w:val="22"/>
        </w:rPr>
        <w:t xml:space="preserve"> </w:t>
      </w:r>
      <w:r>
        <w:rPr>
          <w:sz w:val="22"/>
        </w:rPr>
        <w:t xml:space="preserve">Con sus vehículos industriales y sus soluciones de transporte para la industria del transporte y la construcción, Kögel lleva más de 85 años ofreciendo una calidad marcada por la ingeniería «Made in Germany».</w:t>
      </w:r>
      <w:r>
        <w:rPr>
          <w:sz w:val="22"/>
        </w:rPr>
        <w:t xml:space="preserve"> </w:t>
      </w:r>
      <w:r>
        <w:rPr>
          <w:sz w:val="22"/>
        </w:rPr>
        <w:t xml:space="preserve">Kögel considera su responsabilidad el diseño de procesos de transporte y logística respetuosos con el medio ambiente y el clima en consulta con gobiernos y clientes.</w:t>
      </w:r>
      <w:r>
        <w:rPr>
          <w:sz w:val="22"/>
        </w:rPr>
        <w:t xml:space="preserve"> </w:t>
      </w:r>
      <w:r>
        <w:rPr>
          <w:sz w:val="22"/>
        </w:rPr>
        <w:t xml:space="preserve">El lema de la empresa "Economy meets Ecology– Because we care" es una promesa:</w:t>
      </w:r>
      <w:r>
        <w:rPr>
          <w:sz w:val="22"/>
        </w:rPr>
        <w:t xml:space="preserve"> </w:t>
      </w:r>
      <w:r>
        <w:rPr>
          <w:sz w:val="22"/>
        </w:rPr>
        <w:t xml:space="preserve">Kögel ofrece asistencia a todos sus clientes a través de su extraordinaria experiencia, su conocimiento profundo del sector y, sobre todo, con productos en construcción ligera duraderos y sostenibles desde el punto de vista ecológico y económico.</w:t>
      </w:r>
      <w:r>
        <w:rPr>
          <w:sz w:val="22"/>
        </w:rPr>
        <w:t xml:space="preserve"> </w:t>
      </w:r>
      <w:r>
        <w:rPr>
          <w:sz w:val="22"/>
        </w:rPr>
        <w:t xml:space="preserve">La sede de la empresa y la central de producción de Kögel Trailer GmbH se encuentran situadas en Burtenbach, en el estado de Baviera.</w:t>
      </w:r>
      <w:r>
        <w:rPr>
          <w:sz w:val="22"/>
        </w:rPr>
        <w:t xml:space="preserve"> </w:t>
      </w:r>
      <w:r>
        <w:rPr>
          <w:sz w:val="22"/>
        </w:rPr>
        <w:t xml:space="preserve">Además de estas, Kögel cuenta con fábricas y centros en Ulm (D), Duingen (D), Choceň (CZ), Verona (IT), Gallur (ES), Kampen (NL), Corcelles-en-Beaujolais (FR), Schärding (AT), Padborg (DK) y Moscú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Para más información sobre este comunicado de prensa, póngase en contacto con:</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46335460" w14:textId="77777777" w:rsidR="00DE02D9" w:rsidRDefault="00DE02D9" w:rsidP="00DE02D9">
      <w:pPr>
        <w:spacing w:line="312" w:lineRule="auto"/>
        <w:jc w:val="both"/>
        <w:rPr>
          <w:sz w:val="22"/>
          <w:szCs w:val="22"/>
          <w:rFonts w:eastAsia="TradeGothic" w:cs="Arial"/>
        </w:rPr>
      </w:pPr>
      <w:r>
        <w:rPr>
          <w:sz w:val="22"/>
        </w:rPr>
        <w:t xml:space="preserve">Max Franz</w:t>
      </w:r>
    </w:p>
    <w:p w14:paraId="3A38CB0E" w14:textId="77777777" w:rsidR="00DE02D9" w:rsidRDefault="00DE02D9" w:rsidP="00DE02D9">
      <w:pPr>
        <w:spacing w:line="312" w:lineRule="auto"/>
        <w:jc w:val="both"/>
        <w:rPr>
          <w:sz w:val="22"/>
          <w:szCs w:val="24"/>
        </w:rPr>
      </w:pPr>
      <w:r>
        <w:rPr>
          <w:sz w:val="22"/>
        </w:rPr>
        <w:t xml:space="preserve">Director de las áreas de marketing, relaciones públicas y medios de comunicación</w:t>
      </w:r>
    </w:p>
    <w:p w14:paraId="2FD2AC4F" w14:textId="77777777" w:rsidR="00DE02D9" w:rsidRDefault="00DE02D9" w:rsidP="00DE02D9">
      <w:pPr>
        <w:spacing w:line="312" w:lineRule="auto"/>
        <w:jc w:val="both"/>
        <w:rPr>
          <w:sz w:val="22"/>
          <w:szCs w:val="22"/>
          <w:rFonts w:eastAsia="TradeGothic" w:cs="Arial"/>
        </w:rPr>
      </w:pPr>
      <w:r>
        <w:rPr>
          <w:sz w:val="22"/>
        </w:rPr>
        <w:t xml:space="preserve">Tfno. + 49 82 85 88 –</w:t>
      </w:r>
      <w:r>
        <w:rPr>
          <w:sz w:val="22"/>
        </w:rPr>
        <w:t xml:space="preserve"> </w:t>
      </w:r>
    </w:p>
    <w:p w14:paraId="40290C78" w14:textId="77777777" w:rsidR="00DE02D9" w:rsidRDefault="00DE02D9" w:rsidP="00DE02D9">
      <w:pPr>
        <w:spacing w:line="312" w:lineRule="auto"/>
        <w:jc w:val="both"/>
        <w:rPr>
          <w:sz w:val="22"/>
          <w:szCs w:val="22"/>
          <w:rFonts w:eastAsia="TradeGothic" w:cs="Arial"/>
        </w:rPr>
      </w:pPr>
      <w:r>
        <w:rPr>
          <w:sz w:val="22"/>
        </w:rPr>
        <w:t xml:space="preserve">max.franz@koegel.com</w:t>
      </w:r>
    </w:p>
    <w:p w14:paraId="07D4226E" w14:textId="6B520FC1" w:rsidR="00C75990" w:rsidRPr="00C75990" w:rsidRDefault="00C75990" w:rsidP="00DE02D9">
      <w:pPr>
        <w:spacing w:line="312" w:lineRule="auto"/>
        <w:jc w:val="both"/>
        <w:rPr>
          <w:rFonts w:eastAsia="TradeGothic" w:cs="Arial"/>
          <w:sz w:val="22"/>
          <w:szCs w:val="22"/>
          <w:lang w:val="fr-FR"/>
        </w:rPr>
      </w:pP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Comunicado de prensa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19DF"/>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0BDC"/>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02D9"/>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s-E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55125994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5231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5977</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Patrick Wanner</dc:creator>
  <cp:keywords/>
  <cp:lastModifiedBy>Thomas Rosenberger</cp:lastModifiedBy>
  <cp:revision>4</cp:revision>
  <cp:lastPrinted>2018-01-09T20:19:00Z</cp:lastPrinted>
  <dcterms:created xsi:type="dcterms:W3CDTF">2022-07-14T14:42:00Z</dcterms:created>
  <dcterms:modified xsi:type="dcterms:W3CDTF">2022-07-15T12:46:00Z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