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560307E6" w:rsidR="00842514" w:rsidRPr="009D2EE5" w:rsidRDefault="009D2EE5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Always in tip-top condition: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boosts performance of its After Market services</w:t>
      </w:r>
    </w:p>
    <w:p w14:paraId="67F09832" w14:textId="77777777" w:rsidR="008E293C" w:rsidRPr="009D2EE5" w:rsidRDefault="008E293C" w:rsidP="008F5B48">
      <w:pPr>
        <w:spacing w:line="360" w:lineRule="auto"/>
        <w:rPr>
          <w:rFonts w:cs="Arial"/>
          <w:b/>
        </w:rPr>
      </w:pPr>
    </w:p>
    <w:p w14:paraId="140B9B3F" w14:textId="2D92B117" w:rsidR="00F275DF" w:rsidRPr="005D4879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Germany, 19 September 2022</w:t>
      </w:r>
    </w:p>
    <w:p w14:paraId="1F76ADB5" w14:textId="77777777" w:rsidR="00335B5D" w:rsidRPr="005D4879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6CBEA20C" w:rsidR="00035862" w:rsidRPr="005D4879" w:rsidRDefault="005D4879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Kögel’s After Market division ensures that its trailers remain a sustainable, cost-effective transport solution throughout their lifespan.</w:t>
      </w:r>
      <w:r>
        <w:rPr>
          <w:b/>
        </w:rPr>
        <w:t xml:space="preserve"> </w:t>
      </w:r>
      <w:r>
        <w:rPr>
          <w:b/>
        </w:rPr>
        <w:t xml:space="preserve">To further boost the performance of these services, Kögel has launched the Kögel Original Parts programme, thereby reinforcing online services like the Parts Shop and service finder.</w:t>
      </w:r>
      <w:r>
        <w:rPr>
          <w:b/>
        </w:rPr>
        <w:t xml:space="preserve"> </w:t>
      </w:r>
    </w:p>
    <w:p w14:paraId="2C352D7F" w14:textId="6D4DCB56" w:rsidR="00E13AA9" w:rsidRPr="005D487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25BA8880" w14:textId="1BE84465" w:rsidR="00E9310F" w:rsidRDefault="0044252F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Kögel holistically defines its company promise “Economy meets Ecology – Because we care” according to its Kögel All-Round service package.</w:t>
      </w:r>
      <w:r>
        <w:t xml:space="preserve"> </w:t>
      </w:r>
      <w:r>
        <w:t xml:space="preserve">Kögel trailers not only fulfil the customer need for a cost-effective and sustainable transport solution when new.</w:t>
      </w:r>
      <w:r>
        <w:t xml:space="preserve"> </w:t>
      </w:r>
      <w:r>
        <w:t xml:space="preserve">Rather, they must fulfil these important requirements throughout their entire life cycle.</w:t>
      </w:r>
      <w:r>
        <w:t xml:space="preserve"> </w:t>
      </w:r>
      <w:r>
        <w:t xml:space="preserve">Kögel's After Market division ensures that Kögel trailers meet this discerning customer preference.</w:t>
      </w:r>
      <w:r>
        <w:t xml:space="preserve"> </w:t>
      </w:r>
      <w:r>
        <w:t xml:space="preserve">To achieve this, the Burtenbach-based trailer manufacturer has further optimised its portfolio of spare parts and considerably expanded its digital services.</w:t>
      </w:r>
    </w:p>
    <w:p w14:paraId="68D511C9" w14:textId="6CE7B21F" w:rsidR="00FB2BED" w:rsidRDefault="00FB2BED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FA9413B" w14:textId="34F2CBE4" w:rsidR="005C4234" w:rsidRPr="005C4234" w:rsidRDefault="005C4234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Always open:</w:t>
      </w:r>
      <w:r>
        <w:rPr>
          <w:b/>
        </w:rPr>
        <w:t xml:space="preserve"> </w:t>
      </w:r>
      <w:r>
        <w:rPr>
          <w:b/>
        </w:rPr>
        <w:t xml:space="preserve">the Kögel Parts Shop with more than 11,000 spare parts</w:t>
      </w:r>
    </w:p>
    <w:p w14:paraId="65F814F3" w14:textId="77777777" w:rsidR="005C4234" w:rsidRDefault="005C4234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876A197" w14:textId="0CE41594" w:rsidR="008D772E" w:rsidRDefault="00FB2BED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Kögel Parts Shop plays a major role, and is open around the clock, seven days a week, at parts.koegel.com/.</w:t>
      </w:r>
      <w:r>
        <w:t xml:space="preserve"> </w:t>
      </w:r>
      <w:r>
        <w:t xml:space="preserve">There, customers have constant access to more than 11,000 parts in premium quality.</w:t>
      </w:r>
      <w:r>
        <w:t xml:space="preserve"> </w:t>
      </w:r>
      <w:r>
        <w:t xml:space="preserve">Now, customers of the Kögel Parts Shops also have the option of using modern payment methods such as Sofort transfers</w:t>
      </w:r>
      <w:r>
        <w:rPr>
          <w:color w:val="FF0000"/>
        </w:rPr>
        <w:t xml:space="preserve">,</w:t>
      </w:r>
      <w:r>
        <w:t xml:space="preserve"> credit card payment</w:t>
      </w:r>
      <w:r>
        <w:rPr>
          <w:color w:val="FF0000"/>
        </w:rPr>
        <w:t xml:space="preserve">, </w:t>
      </w:r>
      <w:r>
        <w:t xml:space="preserve">or the online payment service Paypal, which noticeably improves the user-friendliness and processing speed of the shop.</w:t>
      </w:r>
      <w:r>
        <w:t xml:space="preserve"> </w:t>
      </w:r>
      <w:r>
        <w:t xml:space="preserve">In addition, there is now an interface in the Kögel customer portal where customers can track their shipment with the service provider.</w:t>
      </w:r>
      <w:r>
        <w:t xml:space="preserve"> </w:t>
      </w:r>
      <w:r>
        <w:t xml:space="preserve">That way, customers can keep an eye on the expected delivery of their shipment.</w:t>
      </w:r>
      <w:r>
        <w:t xml:space="preserve"> </w:t>
      </w:r>
      <w:r>
        <w:t xml:space="preserve">At IAA Transportation, visitors to the Kögel stand will receive a discount code for online orders.</w:t>
      </w:r>
    </w:p>
    <w:p w14:paraId="1DEA013E" w14:textId="60E52CB7" w:rsidR="008D772E" w:rsidRDefault="008D772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2F143D1" w14:textId="43018C7D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Kögel Original Parts ensure long-term value retention of the trailer</w:t>
      </w:r>
    </w:p>
    <w:p w14:paraId="45E66F12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C1439AC" w14:textId="0B4FEA7D" w:rsidR="00FB2BED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Kögel Original Parts programme complements the spare parts programme.</w:t>
      </w:r>
      <w:r>
        <w:t xml:space="preserve"> </w:t>
      </w:r>
      <w:r>
        <w:t xml:space="preserve">It especially comprises “fast movers”, i.e. wear parts such as brake discs, pads and cylinders, as well as shock absorbers and air suspension bellows, which are needed relatively often.</w:t>
      </w:r>
      <w:r>
        <w:t xml:space="preserve"> </w:t>
      </w:r>
      <w:r>
        <w:t xml:space="preserve">The spare parts in OEM quality offer exceptional durability and the minimum possible tare weight.</w:t>
      </w:r>
      <w:r>
        <w:t xml:space="preserve"> </w:t>
      </w:r>
      <w:r>
        <w:t xml:space="preserve">This allows customers to keep the technical condition of their trailers on par with a new trailer from Kögel – and benefit from the associated positive effects on the operating costs and value retention of the trailer.</w:t>
      </w:r>
    </w:p>
    <w:p w14:paraId="040C3C01" w14:textId="2D775D52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743D852" w14:textId="7F060197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New repair videos help with the installation of spare parts</w:t>
      </w:r>
    </w:p>
    <w:p w14:paraId="74711BE9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1C3BF58" w14:textId="13E37BAE" w:rsidR="002C631E" w:rsidRDefault="005C4234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installation of spare parts on Kögel’s service-friendly trailers is not rocket science either,</w:t>
      </w:r>
      <w:r>
        <w:t xml:space="preserve"> </w:t>
      </w:r>
      <w:r>
        <w:t xml:space="preserve">thanks to the brand new repair videos released at IAA Transportation.</w:t>
      </w:r>
      <w:r>
        <w:t xml:space="preserve"> </w:t>
      </w:r>
      <w:r>
        <w:t xml:space="preserve">They offer all fleet operators clear and helpful instructions, which visitors will be able to see for themselves at the Kögel stand.</w:t>
      </w:r>
      <w:r>
        <w:t xml:space="preserve"> </w:t>
      </w:r>
      <w:r>
        <w:t xml:space="preserve">For anyone interested, the videos are freely accessible on the Kögel Youtube channel or in the repair instructions section of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, and initially cover important components like maintaining brake pads and disc brakes, including the hub unit.</w:t>
      </w:r>
      <w:r>
        <w:t xml:space="preserve"> </w:t>
      </w:r>
    </w:p>
    <w:p w14:paraId="5766417C" w14:textId="77777777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86BED71" w14:textId="3D6899E7" w:rsidR="00FC27EE" w:rsidRPr="00C134F8" w:rsidRDefault="00FC27EE" w:rsidP="008B663E">
      <w:pPr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Find the nearest service partner in a few clicks</w:t>
      </w:r>
    </w:p>
    <w:p w14:paraId="1C5E70E9" w14:textId="77777777" w:rsidR="00FC27EE" w:rsidRPr="00644FCA" w:rsidRDefault="00FC27EE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184C775" w14:textId="7B83ACEA" w:rsidR="00973207" w:rsidRPr="00154C3F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newly programmed service finder on the Kögel website at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 is an especially valuable online tool.</w:t>
      </w:r>
      <w:r>
        <w:t xml:space="preserve"> </w:t>
      </w:r>
      <w:r>
        <w:t xml:space="preserve">When a service is needed, the driver or dispatcher can quickly and conveniently find a suitable Kögel service partner near the vehicle, or along its planned route.</w:t>
      </w:r>
      <w:r>
        <w:t xml:space="preserve"> </w:t>
      </w:r>
      <w:r>
        <w:t xml:space="preserve">As a leading trailer manufacturer, Kögel offers extremely high coverage with approximately 1,000 qualified workshops across Europe – a network that continues to grow, especially along important traffic hubs.</w:t>
      </w:r>
      <w:r>
        <w:t xml:space="preserve"> </w:t>
      </w:r>
      <w:r>
        <w:t xml:space="preserve">Kögel's first public workshop on the grounds of its headquarters in Burtenbach is part of this expansion.</w:t>
      </w:r>
      <w:r>
        <w:t xml:space="preserve"> </w:t>
      </w:r>
      <w:r>
        <w:t xml:space="preserve">There, customers have the opportunity to have all standard maintenance and service work carried out on trailers of all brands.</w:t>
      </w:r>
    </w:p>
    <w:p w14:paraId="2887D232" w14:textId="77777777" w:rsidR="003F08EF" w:rsidRDefault="003F08EF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B41A184" w14:textId="1ACC1742" w:rsidR="00C134F8" w:rsidRPr="00C134F8" w:rsidRDefault="00C134F8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Always ready to go and in original condition</w:t>
      </w:r>
    </w:p>
    <w:p w14:paraId="459B3713" w14:textId="77777777" w:rsidR="00C134F8" w:rsidRDefault="00C134F8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6D35B00" w14:textId="14EC0770" w:rsidR="00772662" w:rsidRPr="00E13AA9" w:rsidRDefault="00772662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“By concentrating heavily on modern digital services in the After Market division, Kögel is creating tangible added value for its customers – fully in line with its company promise ‘Economy meets ecology – because we care’.</w:t>
      </w:r>
      <w:r>
        <w:t xml:space="preserve"> </w:t>
      </w:r>
      <w:r>
        <w:t xml:space="preserve">This will ensure that our trailers are always ready for use and that they keep their value throughout their life cycle – so your trailer remains what it is: a quality product and an original,” explains Anton Bigelmaier, Head of After Market.</w:t>
      </w:r>
      <w:r>
        <w:t xml:space="preserve"> </w:t>
      </w:r>
      <w:r>
        <w:t xml:space="preserve">Customers can discover the potential of the new online services for themselves on the After Market island at Kögel Stand F14 in Hall 27.</w:t>
      </w:r>
    </w:p>
    <w:p w14:paraId="101633DB" w14:textId="1551D00E" w:rsidR="003E74A9" w:rsidRDefault="003E74A9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Company profile</w:t>
      </w:r>
    </w:p>
    <w:p w14:paraId="1C991748" w14:textId="2FA5B46E" w:rsidR="00CB565A" w:rsidRPr="00C134F8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Kögel is one of the leading trailer manufacturers in Europe.</w:t>
      </w:r>
      <w:r>
        <w:rPr>
          <w:sz w:val="21"/>
        </w:rPr>
        <w:t xml:space="preserve"> </w:t>
      </w:r>
      <w:r>
        <w:rPr>
          <w:sz w:val="21"/>
        </w:rPr>
        <w:t xml:space="preserve">With its commercial vehicles and transport solutions for freight-forwarding companies and the construction industry, the company has been providing “made-in-Germany” engineering quality for more than 85 years.</w:t>
      </w:r>
      <w:r>
        <w:rPr>
          <w:sz w:val="21"/>
        </w:rPr>
        <w:t xml:space="preserve"> </w:t>
      </w:r>
      <w:r>
        <w:rPr>
          <w:sz w:val="21"/>
        </w:rPr>
        <w:t xml:space="preserve">Kögel sees itself as having a responsibility to design transport and logistics processes in an environmentally and climate-friendly manner in consultation with politicians and customers.</w:t>
      </w:r>
      <w:r>
        <w:rPr>
          <w:sz w:val="21"/>
        </w:rPr>
        <w:t xml:space="preserve"> </w:t>
      </w:r>
      <w:r>
        <w:rPr>
          <w:sz w:val="21"/>
        </w:rPr>
        <w:t xml:space="preserve">The company’s guiding principle “Economy meets Ecology - Because we care” is a promise:</w:t>
      </w:r>
      <w:r>
        <w:rPr>
          <w:sz w:val="21"/>
        </w:rPr>
        <w:t xml:space="preserve"> </w:t>
      </w:r>
      <w:r>
        <w:rPr>
          <w:sz w:val="21"/>
        </w:rPr>
        <w:t xml:space="preserve">Kögel supports all customers with outstanding expertise, in-depth industry knowledge and, above all, durable, ecologically and economically sustainable products in lightweight construction.</w:t>
      </w:r>
      <w:r>
        <w:rPr>
          <w:sz w:val="21"/>
        </w:rPr>
        <w:t xml:space="preserve"> </w:t>
      </w:r>
      <w:r>
        <w:rPr>
          <w:sz w:val="21"/>
        </w:rPr>
        <w:t xml:space="preserve">The company headquarters and main production facility of Kögel Trailer GmbH are located in the Bavarian town of Burtenbach.</w:t>
      </w:r>
      <w:r>
        <w:rPr>
          <w:sz w:val="21"/>
        </w:rPr>
        <w:t xml:space="preserve"> </w:t>
      </w:r>
      <w:r>
        <w:rPr>
          <w:sz w:val="21"/>
        </w:rPr>
        <w:t xml:space="preserve">Kögel also has factories and sites in Ulm (Germany), Duingen (Germany), Choceň (Czech Republic), Verona (Italy), Gallur (Spain), Kampen (Netherlands), Corcelles-en-Beaujolais (France), Schärding (Austria), Padborg (Denmark) and Moscow (Russia).</w:t>
      </w:r>
      <w:r>
        <w:rPr>
          <w:sz w:val="21"/>
        </w:rPr>
        <w:t xml:space="preserve">  </w:t>
      </w:r>
    </w:p>
    <w:p w14:paraId="472C7E60" w14:textId="77777777" w:rsidR="00FB4C31" w:rsidRPr="00C134F8" w:rsidRDefault="007C3DDD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color w:val="auto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Your point of contact for this press release: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Head of Marketing &amp; Public Relations</w:t>
      </w:r>
    </w:p>
    <w:p w14:paraId="1679DAA5" w14:textId="48FF1097" w:rsidR="00710B32" w:rsidRPr="00C134F8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 + 49 82 85 88 – 12318</w:t>
      </w:r>
    </w:p>
    <w:p w14:paraId="5BC5AC27" w14:textId="77DD0A91" w:rsidR="00710B32" w:rsidRPr="00C134F8" w:rsidRDefault="007C3DDD" w:rsidP="00710B3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119DEAC0" w14:textId="77777777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37BCD1B" w14:textId="5F784D6A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53EB5B9" w14:textId="77777777" w:rsidR="00992CE6" w:rsidRPr="00C134F8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3A7" w14:textId="77777777" w:rsidR="007C3DDD" w:rsidRDefault="007C3DDD">
      <w:r>
        <w:separator/>
      </w:r>
    </w:p>
  </w:endnote>
  <w:endnote w:type="continuationSeparator" w:id="0">
    <w:p w14:paraId="57868B69" w14:textId="77777777" w:rsidR="007C3DDD" w:rsidRDefault="007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D2" w14:textId="77777777" w:rsidR="007C3DDD" w:rsidRDefault="007C3DDD">
      <w:r>
        <w:separator/>
      </w:r>
    </w:p>
  </w:footnote>
  <w:footnote w:type="continuationSeparator" w:id="0">
    <w:p w14:paraId="3C96A29B" w14:textId="77777777" w:rsidR="007C3DDD" w:rsidRDefault="007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Press release</w:t>
    </w:r>
  </w:p>
  <w:p w14:paraId="14887C26" w14:textId="726860DD" w:rsidR="00804F5C" w:rsidRDefault="007C3DDD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103254">
    <w:abstractNumId w:val="14"/>
  </w:num>
  <w:num w:numId="2" w16cid:durableId="115832782">
    <w:abstractNumId w:val="30"/>
  </w:num>
  <w:num w:numId="3" w16cid:durableId="970473651">
    <w:abstractNumId w:val="21"/>
  </w:num>
  <w:num w:numId="4" w16cid:durableId="19626134">
    <w:abstractNumId w:val="19"/>
  </w:num>
  <w:num w:numId="5" w16cid:durableId="1193616228">
    <w:abstractNumId w:val="3"/>
  </w:num>
  <w:num w:numId="6" w16cid:durableId="90509783">
    <w:abstractNumId w:val="1"/>
  </w:num>
  <w:num w:numId="7" w16cid:durableId="1322730806">
    <w:abstractNumId w:val="7"/>
  </w:num>
  <w:num w:numId="8" w16cid:durableId="1628121913">
    <w:abstractNumId w:val="10"/>
  </w:num>
  <w:num w:numId="9" w16cid:durableId="1292176305">
    <w:abstractNumId w:val="35"/>
  </w:num>
  <w:num w:numId="10" w16cid:durableId="619072854">
    <w:abstractNumId w:val="13"/>
  </w:num>
  <w:num w:numId="11" w16cid:durableId="1045374516">
    <w:abstractNumId w:val="2"/>
  </w:num>
  <w:num w:numId="12" w16cid:durableId="908732962">
    <w:abstractNumId w:val="33"/>
  </w:num>
  <w:num w:numId="13" w16cid:durableId="1633438408">
    <w:abstractNumId w:val="24"/>
  </w:num>
  <w:num w:numId="14" w16cid:durableId="1713530065">
    <w:abstractNumId w:val="8"/>
  </w:num>
  <w:num w:numId="15" w16cid:durableId="1482577433">
    <w:abstractNumId w:val="29"/>
  </w:num>
  <w:num w:numId="16" w16cid:durableId="332493502">
    <w:abstractNumId w:val="23"/>
  </w:num>
  <w:num w:numId="17" w16cid:durableId="1372487605">
    <w:abstractNumId w:val="9"/>
  </w:num>
  <w:num w:numId="18" w16cid:durableId="1296570697">
    <w:abstractNumId w:val="4"/>
  </w:num>
  <w:num w:numId="19" w16cid:durableId="1889611956">
    <w:abstractNumId w:val="6"/>
  </w:num>
  <w:num w:numId="20" w16cid:durableId="1029991035">
    <w:abstractNumId w:val="17"/>
  </w:num>
  <w:num w:numId="21" w16cid:durableId="1888100252">
    <w:abstractNumId w:val="27"/>
  </w:num>
  <w:num w:numId="22" w16cid:durableId="1292370845">
    <w:abstractNumId w:val="32"/>
  </w:num>
  <w:num w:numId="23" w16cid:durableId="1897819541">
    <w:abstractNumId w:val="26"/>
  </w:num>
  <w:num w:numId="24" w16cid:durableId="1373993465">
    <w:abstractNumId w:val="16"/>
  </w:num>
  <w:num w:numId="25" w16cid:durableId="1571577062">
    <w:abstractNumId w:val="37"/>
  </w:num>
  <w:num w:numId="26" w16cid:durableId="283075582">
    <w:abstractNumId w:val="20"/>
  </w:num>
  <w:num w:numId="27" w16cid:durableId="1279334578">
    <w:abstractNumId w:val="18"/>
  </w:num>
  <w:num w:numId="28" w16cid:durableId="258610624">
    <w:abstractNumId w:val="36"/>
  </w:num>
  <w:num w:numId="29" w16cid:durableId="363025535">
    <w:abstractNumId w:val="34"/>
  </w:num>
  <w:num w:numId="30" w16cid:durableId="1302807662">
    <w:abstractNumId w:val="5"/>
  </w:num>
  <w:num w:numId="31" w16cid:durableId="11763166">
    <w:abstractNumId w:val="25"/>
  </w:num>
  <w:num w:numId="32" w16cid:durableId="1251507086">
    <w:abstractNumId w:val="11"/>
  </w:num>
  <w:num w:numId="33" w16cid:durableId="1193609494">
    <w:abstractNumId w:val="12"/>
  </w:num>
  <w:num w:numId="34" w16cid:durableId="1167212290">
    <w:abstractNumId w:val="38"/>
  </w:num>
  <w:num w:numId="35" w16cid:durableId="483274971">
    <w:abstractNumId w:val="22"/>
  </w:num>
  <w:num w:numId="36" w16cid:durableId="950475273">
    <w:abstractNumId w:val="31"/>
  </w:num>
  <w:num w:numId="37" w16cid:durableId="2029257956">
    <w:abstractNumId w:val="15"/>
  </w:num>
  <w:num w:numId="38" w16cid:durableId="464540763">
    <w:abstractNumId w:val="0"/>
  </w:num>
  <w:num w:numId="39" w16cid:durableId="1975520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15FD"/>
    <w:rsid w:val="000027DC"/>
    <w:rsid w:val="000100F4"/>
    <w:rsid w:val="000109FC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467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5C5E"/>
    <w:rsid w:val="0008767E"/>
    <w:rsid w:val="000904E0"/>
    <w:rsid w:val="00095A87"/>
    <w:rsid w:val="00096DA1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2BB2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4C3F"/>
    <w:rsid w:val="00155613"/>
    <w:rsid w:val="00164C0E"/>
    <w:rsid w:val="00170C6B"/>
    <w:rsid w:val="00174603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2790"/>
    <w:rsid w:val="002540E3"/>
    <w:rsid w:val="00254691"/>
    <w:rsid w:val="0025496D"/>
    <w:rsid w:val="00257E8C"/>
    <w:rsid w:val="0026213B"/>
    <w:rsid w:val="00265EFA"/>
    <w:rsid w:val="002665CF"/>
    <w:rsid w:val="002675F8"/>
    <w:rsid w:val="00271697"/>
    <w:rsid w:val="00275A97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631E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08EF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58B2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252F"/>
    <w:rsid w:val="00443707"/>
    <w:rsid w:val="00444DE5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234"/>
    <w:rsid w:val="005C4D67"/>
    <w:rsid w:val="005D1F89"/>
    <w:rsid w:val="005D3ED1"/>
    <w:rsid w:val="005D4879"/>
    <w:rsid w:val="005E1D60"/>
    <w:rsid w:val="005E2397"/>
    <w:rsid w:val="005E6BE9"/>
    <w:rsid w:val="005E77E7"/>
    <w:rsid w:val="005F6AD2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39F4"/>
    <w:rsid w:val="00644FCA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72662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3DDD"/>
    <w:rsid w:val="007C5867"/>
    <w:rsid w:val="007C5EE2"/>
    <w:rsid w:val="007D0C50"/>
    <w:rsid w:val="007D7B5F"/>
    <w:rsid w:val="007E090C"/>
    <w:rsid w:val="007E30CA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72E"/>
    <w:rsid w:val="008D7EFE"/>
    <w:rsid w:val="008E084F"/>
    <w:rsid w:val="008E293C"/>
    <w:rsid w:val="008E3D14"/>
    <w:rsid w:val="008E422A"/>
    <w:rsid w:val="008E4CB9"/>
    <w:rsid w:val="008F3F7B"/>
    <w:rsid w:val="008F4E7B"/>
    <w:rsid w:val="008F4EAC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3207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2EE5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6B"/>
    <w:rsid w:val="00B56092"/>
    <w:rsid w:val="00B56307"/>
    <w:rsid w:val="00B56AD1"/>
    <w:rsid w:val="00B60379"/>
    <w:rsid w:val="00B60402"/>
    <w:rsid w:val="00B61150"/>
    <w:rsid w:val="00B718E0"/>
    <w:rsid w:val="00B74DB4"/>
    <w:rsid w:val="00B75356"/>
    <w:rsid w:val="00B842E5"/>
    <w:rsid w:val="00B855D5"/>
    <w:rsid w:val="00B87A41"/>
    <w:rsid w:val="00B93B11"/>
    <w:rsid w:val="00B94D30"/>
    <w:rsid w:val="00B95AD9"/>
    <w:rsid w:val="00B96254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34F8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39E9"/>
    <w:rsid w:val="00C84D2A"/>
    <w:rsid w:val="00C86ADF"/>
    <w:rsid w:val="00C86F86"/>
    <w:rsid w:val="00C87820"/>
    <w:rsid w:val="00C9100C"/>
    <w:rsid w:val="00C93DCD"/>
    <w:rsid w:val="00C951FA"/>
    <w:rsid w:val="00C972A9"/>
    <w:rsid w:val="00CA0214"/>
    <w:rsid w:val="00CA0227"/>
    <w:rsid w:val="00CA03C9"/>
    <w:rsid w:val="00CA34D6"/>
    <w:rsid w:val="00CA67B7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8CB"/>
    <w:rsid w:val="00D2693D"/>
    <w:rsid w:val="00D3430D"/>
    <w:rsid w:val="00D3448C"/>
    <w:rsid w:val="00D370D7"/>
    <w:rsid w:val="00D50257"/>
    <w:rsid w:val="00D55C86"/>
    <w:rsid w:val="00D568E8"/>
    <w:rsid w:val="00D61DDF"/>
    <w:rsid w:val="00D64120"/>
    <w:rsid w:val="00D64DAD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32B1"/>
    <w:rsid w:val="00E86A4F"/>
    <w:rsid w:val="00E86D9B"/>
    <w:rsid w:val="00E90901"/>
    <w:rsid w:val="00E9310F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2727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3A86"/>
    <w:rsid w:val="00F94DA1"/>
    <w:rsid w:val="00F97D8D"/>
    <w:rsid w:val="00FA0E0B"/>
    <w:rsid w:val="00FA6944"/>
    <w:rsid w:val="00FB075F"/>
    <w:rsid w:val="00FB2BED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27EE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E7AC4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6308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Patrick Wanner</dc:creator>
  <cp:lastModifiedBy>Franz Maximilian</cp:lastModifiedBy>
  <cp:revision>2</cp:revision>
  <cp:lastPrinted>2014-10-07T07:32:00Z</cp:lastPrinted>
  <dcterms:created xsi:type="dcterms:W3CDTF">2022-09-06T05:45:00Z</dcterms:created>
  <dcterms:modified xsi:type="dcterms:W3CDTF">2022-09-06T05:45:00Z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