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41C2" w14:textId="45EBA2C7" w:rsidR="006F3B7F" w:rsidRDefault="00EF566C" w:rsidP="006F3B7F">
      <w:pPr>
        <w:spacing w:line="360" w:lineRule="auto"/>
        <w:rPr>
          <w:rFonts w:cs="Arial"/>
          <w:b/>
          <w:sz w:val="32"/>
          <w:szCs w:val="32"/>
        </w:rPr>
      </w:pPr>
      <w:r>
        <w:rPr>
          <w:b/>
          <w:sz w:val="32"/>
        </w:rPr>
        <w:t xml:space="preserve">Optimised lightweight construction and simple operation: </w:t>
      </w:r>
      <w:proofErr w:type="spellStart"/>
      <w:r>
        <w:rPr>
          <w:b/>
          <w:sz w:val="32"/>
        </w:rPr>
        <w:t>Kögel</w:t>
      </w:r>
      <w:proofErr w:type="spellEnd"/>
      <w:r>
        <w:rPr>
          <w:b/>
          <w:sz w:val="32"/>
        </w:rPr>
        <w:t xml:space="preserve"> Port series achieves outstanding values</w:t>
      </w:r>
    </w:p>
    <w:p w14:paraId="581D6473" w14:textId="77777777" w:rsidR="006F3B7F" w:rsidRDefault="006F3B7F" w:rsidP="006F3B7F">
      <w:pPr>
        <w:spacing w:line="360" w:lineRule="auto"/>
        <w:rPr>
          <w:rFonts w:cs="Arial"/>
          <w:b/>
        </w:rPr>
      </w:pPr>
    </w:p>
    <w:p w14:paraId="7AA379B9" w14:textId="5FA0E4A1" w:rsidR="006F3B7F" w:rsidRDefault="006F3B7F" w:rsidP="006F3B7F">
      <w:pPr>
        <w:spacing w:after="120" w:line="360" w:lineRule="auto"/>
        <w:jc w:val="both"/>
        <w:rPr>
          <w:rFonts w:cs="Arial"/>
          <w:b/>
          <w:szCs w:val="24"/>
        </w:rPr>
      </w:pPr>
      <w:proofErr w:type="spellStart"/>
      <w:r>
        <w:rPr>
          <w:b/>
        </w:rPr>
        <w:t>Burtenbach</w:t>
      </w:r>
      <w:proofErr w:type="spellEnd"/>
      <w:r>
        <w:rPr>
          <w:b/>
        </w:rPr>
        <w:t>, Germany, 20 September 2022</w:t>
      </w:r>
    </w:p>
    <w:p w14:paraId="6C81A843" w14:textId="77777777" w:rsidR="006F3B7F" w:rsidRDefault="006F3B7F" w:rsidP="006F3B7F">
      <w:pPr>
        <w:spacing w:after="120" w:line="360" w:lineRule="auto"/>
        <w:jc w:val="both"/>
        <w:rPr>
          <w:rFonts w:cs="Arial"/>
          <w:b/>
          <w:szCs w:val="24"/>
        </w:rPr>
      </w:pPr>
    </w:p>
    <w:p w14:paraId="2035F73B" w14:textId="14EB2923" w:rsidR="006F3B7F" w:rsidRDefault="00C51853" w:rsidP="006F3B7F">
      <w:pPr>
        <w:autoSpaceDE w:val="0"/>
        <w:autoSpaceDN w:val="0"/>
        <w:adjustRightInd w:val="0"/>
        <w:spacing w:line="360" w:lineRule="auto"/>
        <w:jc w:val="both"/>
        <w:rPr>
          <w:rFonts w:eastAsia="TradeGothic" w:cs="Arial"/>
          <w:b/>
          <w:szCs w:val="24"/>
        </w:rPr>
      </w:pPr>
      <w:r>
        <w:rPr>
          <w:b/>
        </w:rPr>
        <w:t xml:space="preserve">For the IAA Transportation 2022, </w:t>
      </w:r>
      <w:proofErr w:type="spellStart"/>
      <w:r>
        <w:rPr>
          <w:b/>
        </w:rPr>
        <w:t>Kögel</w:t>
      </w:r>
      <w:proofErr w:type="spellEnd"/>
      <w:r>
        <w:rPr>
          <w:b/>
        </w:rPr>
        <w:t xml:space="preserve"> is optimising the Port container chassis series. The new front extension of the Duplex series is not only extremely light, but low-maintenance too. In conjunction with the weight-optimised frame, it weighs up to 700 kilograms less than the previous generation.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7AF19FEF" w:rsidR="00EC187A" w:rsidRDefault="00EC187A" w:rsidP="00EC187A">
      <w:pPr>
        <w:autoSpaceDE w:val="0"/>
        <w:autoSpaceDN w:val="0"/>
        <w:adjustRightInd w:val="0"/>
        <w:spacing w:line="360" w:lineRule="auto"/>
        <w:jc w:val="both"/>
        <w:rPr>
          <w:rFonts w:eastAsia="TradeGothic" w:cs="Arial"/>
          <w:szCs w:val="24"/>
        </w:rPr>
      </w:pPr>
      <w:r>
        <w:t xml:space="preserve">After the IAA Transportation 2022, all chassis series will be based on the new chassis generation, previously only featured in the award-winning, multifunctional Port 45 Triplex chassis. Container chassis in the Duplex series now feature </w:t>
      </w:r>
      <w:proofErr w:type="spellStart"/>
      <w:r>
        <w:t>Kögel’s</w:t>
      </w:r>
      <w:proofErr w:type="spellEnd"/>
      <w:r>
        <w:t xml:space="preserve"> very own one-piece front extension, mounted on four rollers, which has been used successfully on the Port 45 Triplex for several years already. It is not only low-maintenance and easy to operate, but exceptionally light as well.</w:t>
      </w:r>
    </w:p>
    <w:p w14:paraId="574AA342" w14:textId="77777777" w:rsidR="00EC187A" w:rsidRPr="000D19DF" w:rsidRDefault="00EC187A" w:rsidP="00EC187A">
      <w:pPr>
        <w:autoSpaceDE w:val="0"/>
        <w:autoSpaceDN w:val="0"/>
        <w:adjustRightInd w:val="0"/>
        <w:spacing w:line="360" w:lineRule="auto"/>
        <w:jc w:val="both"/>
        <w:rPr>
          <w:rFonts w:eastAsia="TradeGothic" w:cs="Arial"/>
          <w:szCs w:val="24"/>
        </w:rPr>
      </w:pPr>
    </w:p>
    <w:p w14:paraId="6566055F" w14:textId="7758D41B" w:rsidR="00EC187A" w:rsidRDefault="00804266" w:rsidP="00EC187A">
      <w:pPr>
        <w:autoSpaceDE w:val="0"/>
        <w:autoSpaceDN w:val="0"/>
        <w:adjustRightInd w:val="0"/>
        <w:spacing w:line="360" w:lineRule="auto"/>
        <w:jc w:val="both"/>
        <w:rPr>
          <w:rFonts w:eastAsia="TradeGothic" w:cs="Arial"/>
          <w:szCs w:val="24"/>
        </w:rPr>
      </w:pPr>
      <w:r>
        <w:t>Its complete structural revision also includes the use of high-strength steel. This allows the thickness of the material to be reduced, considerably reducing the tare weight. Thanks to this adjustment, all the models in the Port series will in future offer considerably more payload. With the basic equipment, the weight advantage compared to previous designs is between 400 kilograms for models with only a rear extension (Simplex) and 700 kilograms for models with a front and rear extension (Duplex). This saves a lot of fuel, thereby reducing the carbon footprint and the cost of transporting containers by road.</w:t>
      </w:r>
    </w:p>
    <w:p w14:paraId="15E90B05" w14:textId="0AF02283" w:rsidR="00EC187A" w:rsidRDefault="00EC187A" w:rsidP="00EC187A">
      <w:pPr>
        <w:autoSpaceDE w:val="0"/>
        <w:autoSpaceDN w:val="0"/>
        <w:adjustRightInd w:val="0"/>
        <w:spacing w:line="360" w:lineRule="auto"/>
        <w:jc w:val="both"/>
        <w:rPr>
          <w:rFonts w:eastAsia="TradeGothic" w:cs="Arial"/>
          <w:szCs w:val="24"/>
        </w:rPr>
      </w:pPr>
    </w:p>
    <w:p w14:paraId="3968B223" w14:textId="41A1A61B" w:rsidR="00D05D82" w:rsidRDefault="00D05D82" w:rsidP="00EC187A">
      <w:pPr>
        <w:autoSpaceDE w:val="0"/>
        <w:autoSpaceDN w:val="0"/>
        <w:adjustRightInd w:val="0"/>
        <w:spacing w:line="360" w:lineRule="auto"/>
        <w:jc w:val="both"/>
        <w:rPr>
          <w:rFonts w:eastAsia="TradeGothic" w:cs="Arial"/>
          <w:szCs w:val="24"/>
        </w:rPr>
      </w:pPr>
      <w:r>
        <w:lastRenderedPageBreak/>
        <w:t xml:space="preserve">At Stand F14 in Hall 27, </w:t>
      </w:r>
      <w:proofErr w:type="spellStart"/>
      <w:r>
        <w:t>Kögel</w:t>
      </w:r>
      <w:proofErr w:type="spellEnd"/>
      <w:r>
        <w:t xml:space="preserve"> will present the front extension and the innovative, intuitive </w:t>
      </w:r>
      <w:proofErr w:type="spellStart"/>
      <w:r>
        <w:t>Kögel</w:t>
      </w:r>
      <w:proofErr w:type="spellEnd"/>
      <w:r>
        <w:t xml:space="preserve"> Multi Container Stop on a Port 45 Duplex container chassis with front and rear extensions for ISO and </w:t>
      </w:r>
      <w:r w:rsidR="00CD0D21">
        <w:t>H</w:t>
      </w:r>
      <w:r>
        <w:t>igh</w:t>
      </w:r>
      <w:r w:rsidR="00CD0D21">
        <w:t>-C</w:t>
      </w:r>
      <w:bookmarkStart w:id="0" w:name="_GoBack"/>
      <w:bookmarkEnd w:id="0"/>
      <w:r>
        <w:t xml:space="preserve">ube containers in sizes from 20 to 45 foot. Thanks to the revision, this extremely versatile container chassis now weighs 5,050 kilograms, instead of 5,750 kilograms. An impressive result “made in </w:t>
      </w:r>
      <w:proofErr w:type="spellStart"/>
      <w:r>
        <w:t>Burtenbach</w:t>
      </w:r>
      <w:proofErr w:type="spellEnd"/>
      <w:r>
        <w:t>” that will boost the attractiveness of environmentally friendly multimodal transport!</w:t>
      </w:r>
    </w:p>
    <w:p w14:paraId="5C39C73F" w14:textId="77777777" w:rsidR="00D05D82" w:rsidRDefault="00D05D82" w:rsidP="00EC187A">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7174E" w:rsidRDefault="00C75990" w:rsidP="004340F1">
      <w:pPr>
        <w:spacing w:line="312" w:lineRule="auto"/>
        <w:jc w:val="both"/>
        <w:rPr>
          <w:rFonts w:eastAsia="TradeGothic" w:cs="Arial"/>
          <w:b/>
          <w:sz w:val="22"/>
          <w:szCs w:val="22"/>
        </w:rPr>
      </w:pPr>
      <w:r>
        <w:rPr>
          <w:b/>
          <w:sz w:val="22"/>
        </w:rPr>
        <w:t>Company profile</w:t>
      </w:r>
    </w:p>
    <w:p w14:paraId="1C24AD03" w14:textId="56DF337F" w:rsidR="004340F1" w:rsidRDefault="00380C46" w:rsidP="004340F1">
      <w:pPr>
        <w:spacing w:line="360" w:lineRule="auto"/>
        <w:jc w:val="both"/>
        <w:rPr>
          <w:sz w:val="22"/>
          <w:szCs w:val="24"/>
        </w:rPr>
      </w:pPr>
      <w:proofErr w:type="spellStart"/>
      <w:r>
        <w:rPr>
          <w:sz w:val="22"/>
        </w:rPr>
        <w:t>Kögel</w:t>
      </w:r>
      <w:proofErr w:type="spellEnd"/>
      <w:r>
        <w:rPr>
          <w:sz w:val="22"/>
        </w:rPr>
        <w:t xml:space="preserve"> is one of the leading trailer manufacturers in Europe. With its commercial vehicles and transport solutions for freight-forwarding companies and the construction industry, the company has been providing “made-in-Germany” engineering quality for more than 85 years. </w:t>
      </w:r>
      <w:proofErr w:type="spellStart"/>
      <w:r>
        <w:rPr>
          <w:sz w:val="22"/>
        </w:rPr>
        <w:t>Kögel</w:t>
      </w:r>
      <w:proofErr w:type="spellEnd"/>
      <w:r>
        <w:rPr>
          <w:sz w:val="22"/>
        </w:rPr>
        <w:t xml:space="preserve"> sees itself as having a responsibility to design transport and logistics processes in an environmentally and climate-friendly manner in consultation with politicians and customers. The company’s guiding principle “Economy meets Ecology– Because we care” is a promise: </w:t>
      </w:r>
      <w:proofErr w:type="spellStart"/>
      <w:r>
        <w:rPr>
          <w:sz w:val="22"/>
        </w:rPr>
        <w:t>Kögel</w:t>
      </w:r>
      <w:proofErr w:type="spellEnd"/>
      <w:r>
        <w:rPr>
          <w:sz w:val="22"/>
        </w:rPr>
        <w:t xml:space="preserve"> supports all customers with outstanding expertise, in-depth industry knowledge and, above all, durable, ecologically and economically sustainable products in lightweight construction. The company headquarters and main production facility of </w:t>
      </w:r>
      <w:proofErr w:type="spellStart"/>
      <w:r>
        <w:rPr>
          <w:sz w:val="22"/>
        </w:rPr>
        <w:t>Kögel</w:t>
      </w:r>
      <w:proofErr w:type="spellEnd"/>
      <w:r>
        <w:rPr>
          <w:sz w:val="22"/>
        </w:rPr>
        <w:t xml:space="preserve"> Trailer GmbH are located in the Bavarian town of </w:t>
      </w:r>
      <w:proofErr w:type="spellStart"/>
      <w:r>
        <w:rPr>
          <w:sz w:val="22"/>
        </w:rPr>
        <w:t>Burtenbach</w:t>
      </w:r>
      <w:proofErr w:type="spellEnd"/>
      <w:r>
        <w:rPr>
          <w:sz w:val="22"/>
        </w:rPr>
        <w:t xml:space="preserve">. </w:t>
      </w:r>
      <w:proofErr w:type="spellStart"/>
      <w:r>
        <w:rPr>
          <w:sz w:val="22"/>
        </w:rPr>
        <w:t>Kögel</w:t>
      </w:r>
      <w:proofErr w:type="spellEnd"/>
      <w:r>
        <w:rPr>
          <w:sz w:val="22"/>
        </w:rPr>
        <w:t xml:space="preserve"> also has factories and sites in Ulm (Germany), </w:t>
      </w:r>
      <w:proofErr w:type="spellStart"/>
      <w:r>
        <w:rPr>
          <w:sz w:val="22"/>
        </w:rPr>
        <w:t>Duingen</w:t>
      </w:r>
      <w:proofErr w:type="spellEnd"/>
      <w:r>
        <w:rPr>
          <w:sz w:val="22"/>
        </w:rPr>
        <w:t xml:space="preserve"> (Germany), </w:t>
      </w:r>
      <w:proofErr w:type="spellStart"/>
      <w:r>
        <w:rPr>
          <w:sz w:val="22"/>
        </w:rPr>
        <w:t>Choceň</w:t>
      </w:r>
      <w:proofErr w:type="spellEnd"/>
      <w:r>
        <w:rPr>
          <w:sz w:val="22"/>
        </w:rPr>
        <w:t xml:space="preserve"> (Czech Republic), Verona (Italy), </w:t>
      </w:r>
      <w:proofErr w:type="spellStart"/>
      <w:r>
        <w:rPr>
          <w:sz w:val="22"/>
        </w:rPr>
        <w:t>Gallur</w:t>
      </w:r>
      <w:proofErr w:type="spellEnd"/>
      <w:r>
        <w:rPr>
          <w:sz w:val="22"/>
        </w:rPr>
        <w:t xml:space="preserve"> (Spain), </w:t>
      </w:r>
      <w:proofErr w:type="spellStart"/>
      <w:r>
        <w:rPr>
          <w:sz w:val="22"/>
        </w:rPr>
        <w:t>Kampen</w:t>
      </w:r>
      <w:proofErr w:type="spellEnd"/>
      <w:r>
        <w:rPr>
          <w:sz w:val="22"/>
        </w:rPr>
        <w:t xml:space="preserve"> (Netherlands), </w:t>
      </w:r>
      <w:proofErr w:type="spellStart"/>
      <w:r>
        <w:rPr>
          <w:sz w:val="22"/>
        </w:rPr>
        <w:t>Corcelles</w:t>
      </w:r>
      <w:proofErr w:type="spellEnd"/>
      <w:r>
        <w:rPr>
          <w:sz w:val="22"/>
        </w:rPr>
        <w:t xml:space="preserve">-en-Beaujolais (France), </w:t>
      </w:r>
      <w:proofErr w:type="spellStart"/>
      <w:r>
        <w:rPr>
          <w:sz w:val="22"/>
        </w:rPr>
        <w:t>Schärding</w:t>
      </w:r>
      <w:proofErr w:type="spellEnd"/>
      <w:r>
        <w:rPr>
          <w:sz w:val="22"/>
        </w:rPr>
        <w:t xml:space="preserve"> (Austria), </w:t>
      </w:r>
      <w:proofErr w:type="spellStart"/>
      <w:r>
        <w:rPr>
          <w:sz w:val="22"/>
        </w:rPr>
        <w:t>Padborg</w:t>
      </w:r>
      <w:proofErr w:type="spellEnd"/>
      <w:r>
        <w:rPr>
          <w:sz w:val="22"/>
        </w:rPr>
        <w:t xml:space="preserve"> (Denmark) and Moscow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Your point of contact for this press release: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77777777" w:rsidR="00EC187A" w:rsidRPr="00B7174E" w:rsidRDefault="00EC187A" w:rsidP="00EC187A">
      <w:pPr>
        <w:spacing w:line="312" w:lineRule="auto"/>
        <w:jc w:val="both"/>
        <w:rPr>
          <w:sz w:val="22"/>
          <w:szCs w:val="24"/>
        </w:rPr>
      </w:pPr>
      <w:r>
        <w:rPr>
          <w:sz w:val="22"/>
        </w:rPr>
        <w:t>Head of Marketing, Public Relations &amp; Press</w:t>
      </w:r>
    </w:p>
    <w:p w14:paraId="4DA6CFF0" w14:textId="77777777" w:rsidR="00EC187A" w:rsidRPr="00143C8E" w:rsidRDefault="00EC187A" w:rsidP="00EC187A">
      <w:pPr>
        <w:spacing w:line="312" w:lineRule="auto"/>
        <w:jc w:val="both"/>
        <w:rPr>
          <w:rFonts w:eastAsia="TradeGothic" w:cs="Arial"/>
          <w:sz w:val="22"/>
          <w:szCs w:val="22"/>
        </w:rPr>
      </w:pPr>
      <w:r>
        <w:rPr>
          <w:sz w:val="22"/>
        </w:rPr>
        <w:t xml:space="preserve">Tel + 49 82 85 88 – </w:t>
      </w:r>
    </w:p>
    <w:p w14:paraId="1384169D" w14:textId="77777777" w:rsidR="00EC187A" w:rsidRPr="00C75990" w:rsidRDefault="00EC187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950B"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14B584" w14:textId="77777777" w:rsidR="00593DF6" w:rsidRDefault="00593DF6" w:rsidP="004244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FCB9"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5FA7">
      <w:rPr>
        <w:rStyle w:val="Nmerodepgina"/>
      </w:rPr>
      <w:t>3</w:t>
    </w:r>
    <w:r>
      <w:rPr>
        <w:rStyle w:val="Nmerodepgina"/>
      </w:rPr>
      <w:fldChar w:fldCharType="end"/>
    </w:r>
  </w:p>
  <w:p w14:paraId="7AE407BD" w14:textId="77777777" w:rsidR="00593DF6" w:rsidRDefault="00593DF6" w:rsidP="004244A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67D" w14:textId="77777777" w:rsidR="004A434C" w:rsidRDefault="004A4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3925" w14:textId="77777777" w:rsidR="004A434C" w:rsidRDefault="004A43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B82B" w14:textId="77777777" w:rsidR="00593DF6" w:rsidRDefault="00FF6480" w:rsidP="00426502">
    <w:pPr>
      <w:pStyle w:val="Encabezado"/>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Encabezado"/>
      <w:rPr>
        <w:rFonts w:cs="Arial"/>
        <w:color w:val="003366"/>
        <w:sz w:val="17"/>
        <w:szCs w:val="17"/>
      </w:rPr>
    </w:pPr>
  </w:p>
  <w:p w14:paraId="2BCB4001" w14:textId="77777777" w:rsidR="00593DF6" w:rsidRDefault="00593DF6" w:rsidP="00426502">
    <w:pPr>
      <w:pStyle w:val="Encabezado"/>
      <w:rPr>
        <w:rFonts w:cs="Arial"/>
        <w:color w:val="003366"/>
        <w:sz w:val="17"/>
        <w:szCs w:val="17"/>
      </w:rPr>
    </w:pPr>
  </w:p>
  <w:p w14:paraId="2F633F61" w14:textId="77777777" w:rsidR="00593DF6" w:rsidRDefault="00593DF6" w:rsidP="00426502">
    <w:pPr>
      <w:pStyle w:val="Encabezado"/>
      <w:rPr>
        <w:rFonts w:cs="Arial"/>
        <w:color w:val="003366"/>
        <w:sz w:val="17"/>
        <w:szCs w:val="17"/>
      </w:rPr>
    </w:pPr>
  </w:p>
  <w:p w14:paraId="0D833DFD" w14:textId="77777777" w:rsidR="00593DF6" w:rsidRDefault="00593DF6" w:rsidP="00426502">
    <w:pPr>
      <w:pStyle w:val="Encabezado"/>
      <w:rPr>
        <w:rFonts w:cs="Arial"/>
        <w:color w:val="003366"/>
        <w:sz w:val="17"/>
        <w:szCs w:val="17"/>
      </w:rPr>
    </w:pPr>
  </w:p>
  <w:p w14:paraId="03DAAA64" w14:textId="389F1226" w:rsidR="00593DF6" w:rsidRDefault="00593DF6" w:rsidP="00E66221">
    <w:pPr>
      <w:pStyle w:val="Encabezado"/>
    </w:pPr>
    <w:r>
      <w:rPr>
        <w:color w:val="003366"/>
        <w:sz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343" w14:textId="77777777" w:rsidR="004A434C" w:rsidRDefault="004A4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20"/>
  </w:num>
  <w:num w:numId="5">
    <w:abstractNumId w:val="3"/>
  </w:num>
  <w:num w:numId="6">
    <w:abstractNumId w:val="0"/>
  </w:num>
  <w:num w:numId="7">
    <w:abstractNumId w:val="7"/>
  </w:num>
  <w:num w:numId="8">
    <w:abstractNumId w:val="11"/>
  </w:num>
  <w:num w:numId="9">
    <w:abstractNumId w:val="35"/>
  </w:num>
  <w:num w:numId="10">
    <w:abstractNumId w:val="14"/>
  </w:num>
  <w:num w:numId="11">
    <w:abstractNumId w:val="2"/>
  </w:num>
  <w:num w:numId="12">
    <w:abstractNumId w:val="33"/>
  </w:num>
  <w:num w:numId="13">
    <w:abstractNumId w:val="25"/>
  </w:num>
  <w:num w:numId="14">
    <w:abstractNumId w:val="9"/>
  </w:num>
  <w:num w:numId="15">
    <w:abstractNumId w:val="29"/>
  </w:num>
  <w:num w:numId="16">
    <w:abstractNumId w:val="24"/>
  </w:num>
  <w:num w:numId="17">
    <w:abstractNumId w:val="10"/>
  </w:num>
  <w:num w:numId="18">
    <w:abstractNumId w:val="4"/>
  </w:num>
  <w:num w:numId="19">
    <w:abstractNumId w:val="6"/>
  </w:num>
  <w:num w:numId="20">
    <w:abstractNumId w:val="18"/>
  </w:num>
  <w:num w:numId="21">
    <w:abstractNumId w:val="28"/>
  </w:num>
  <w:num w:numId="22">
    <w:abstractNumId w:val="32"/>
  </w:num>
  <w:num w:numId="23">
    <w:abstractNumId w:val="27"/>
  </w:num>
  <w:num w:numId="24">
    <w:abstractNumId w:val="17"/>
  </w:num>
  <w:num w:numId="25">
    <w:abstractNumId w:val="37"/>
  </w:num>
  <w:num w:numId="26">
    <w:abstractNumId w:val="21"/>
  </w:num>
  <w:num w:numId="27">
    <w:abstractNumId w:val="19"/>
  </w:num>
  <w:num w:numId="28">
    <w:abstractNumId w:val="36"/>
  </w:num>
  <w:num w:numId="29">
    <w:abstractNumId w:val="34"/>
  </w:num>
  <w:num w:numId="30">
    <w:abstractNumId w:val="5"/>
  </w:num>
  <w:num w:numId="31">
    <w:abstractNumId w:val="26"/>
  </w:num>
  <w:num w:numId="32">
    <w:abstractNumId w:val="12"/>
  </w:num>
  <w:num w:numId="33">
    <w:abstractNumId w:val="13"/>
  </w:num>
  <w:num w:numId="34">
    <w:abstractNumId w:val="38"/>
  </w:num>
  <w:num w:numId="35">
    <w:abstractNumId w:val="23"/>
  </w:num>
  <w:num w:numId="36">
    <w:abstractNumId w:val="31"/>
  </w:num>
  <w:num w:numId="37">
    <w:abstractNumId w:val="16"/>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341C"/>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0FD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9"/>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7555"/>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5FB2"/>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266"/>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74E"/>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1853"/>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0D21"/>
    <w:rsid w:val="00CD3030"/>
    <w:rsid w:val="00CD34B4"/>
    <w:rsid w:val="00CD46E0"/>
    <w:rsid w:val="00CE0EB8"/>
    <w:rsid w:val="00CE11C3"/>
    <w:rsid w:val="00CE2A5C"/>
    <w:rsid w:val="00CE3039"/>
    <w:rsid w:val="00CE4A41"/>
    <w:rsid w:val="00CF3473"/>
    <w:rsid w:val="00CF7072"/>
    <w:rsid w:val="00CF782F"/>
    <w:rsid w:val="00D01739"/>
    <w:rsid w:val="00D05D82"/>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566C"/>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355"/>
    <w:rPr>
      <w:rFonts w:ascii="Arial" w:hAnsi="Arial"/>
      <w:sz w:val="24"/>
      <w:szCs w:val="28"/>
    </w:rPr>
  </w:style>
  <w:style w:type="paragraph" w:styleId="Ttulo1">
    <w:name w:val="heading 1"/>
    <w:basedOn w:val="Normal"/>
    <w:qFormat/>
    <w:pPr>
      <w:spacing w:before="100" w:beforeAutospacing="1" w:after="100" w:afterAutospacing="1" w:line="390" w:lineRule="atLeast"/>
      <w:outlineLvl w:val="0"/>
    </w:pPr>
    <w:rPr>
      <w:rFonts w:ascii="Tahoma" w:hAnsi="Tahoma" w:cs="Tahoma"/>
      <w:color w:val="DC0000"/>
      <w:kern w:val="36"/>
      <w:sz w:val="27"/>
      <w:szCs w:val="27"/>
    </w:rPr>
  </w:style>
  <w:style w:type="paragraph" w:styleId="Ttulo3">
    <w:name w:val="heading 3"/>
    <w:basedOn w:val="Normal"/>
    <w:next w:val="Normal"/>
    <w:qFormat/>
    <w:rsid w:val="0038174A"/>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customStyle="1" w:styleId="contenttext">
    <w:name w:val="contenttext"/>
    <w:basedOn w:val="Fuentedeprrafopredeter"/>
  </w:style>
  <w:style w:type="character" w:styleId="Hipervnculo">
    <w:name w:val="Hyperlink"/>
    <w:rPr>
      <w:strike w:val="0"/>
      <w:dstrike w:val="0"/>
      <w:color w:val="7D0000"/>
      <w:u w:val="none"/>
      <w:effect w:val="none"/>
    </w:rPr>
  </w:style>
  <w:style w:type="paragraph" w:styleId="NormalWeb">
    <w:name w:val="Normal (Web)"/>
    <w:basedOn w:val="Normal"/>
    <w:pPr>
      <w:spacing w:before="100" w:beforeAutospacing="1" w:after="100" w:afterAutospacing="1" w:line="225" w:lineRule="atLeast"/>
    </w:pPr>
    <w:rPr>
      <w:rFonts w:ascii="Verdana" w:hAnsi="Verdana"/>
      <w:color w:val="333333"/>
      <w:sz w:val="17"/>
      <w:szCs w:val="17"/>
    </w:rPr>
  </w:style>
  <w:style w:type="paragraph" w:styleId="Textodeglobo">
    <w:name w:val="Balloon Text"/>
    <w:basedOn w:val="Normal"/>
    <w:semiHidden/>
    <w:rsid w:val="00FA0E0B"/>
    <w:rPr>
      <w:rFonts w:ascii="Tahoma" w:hAnsi="Tahoma" w:cs="Tahoma"/>
      <w:sz w:val="16"/>
      <w:szCs w:val="16"/>
    </w:rPr>
  </w:style>
  <w:style w:type="paragraph" w:styleId="Mapadeldocumento">
    <w:name w:val="Document Map"/>
    <w:basedOn w:val="Normal"/>
    <w:semiHidden/>
    <w:rsid w:val="00956643"/>
    <w:pPr>
      <w:shd w:val="clear" w:color="auto" w:fill="000080"/>
    </w:pPr>
    <w:rPr>
      <w:rFonts w:ascii="Tahoma" w:hAnsi="Tahoma" w:cs="Tahoma"/>
      <w:sz w:val="20"/>
      <w:szCs w:val="20"/>
    </w:rPr>
  </w:style>
  <w:style w:type="character" w:styleId="Textoennegrita">
    <w:name w:val="Strong"/>
    <w:qFormat/>
    <w:rsid w:val="00ED4B2D"/>
    <w:rPr>
      <w:b/>
      <w:bCs/>
    </w:rPr>
  </w:style>
  <w:style w:type="character" w:styleId="Nmerodepgina">
    <w:name w:val="page number"/>
    <w:basedOn w:val="Fuentedeprrafopredeter"/>
    <w:rsid w:val="004244A7"/>
  </w:style>
  <w:style w:type="character" w:customStyle="1" w:styleId="alphatitle1">
    <w:name w:val="_alphatitle1"/>
    <w:rsid w:val="000C093B"/>
    <w:rPr>
      <w:b/>
      <w:bCs/>
      <w:sz w:val="18"/>
      <w:szCs w:val="18"/>
    </w:rPr>
  </w:style>
  <w:style w:type="character" w:customStyle="1" w:styleId="spelle">
    <w:name w:val="spelle"/>
    <w:basedOn w:val="Fuentedeprrafopredeter"/>
    <w:rsid w:val="00193D94"/>
  </w:style>
  <w:style w:type="paragraph" w:customStyle="1" w:styleId="bigger3">
    <w:name w:val="bigger3"/>
    <w:basedOn w:val="Normal"/>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Normal"/>
    <w:rsid w:val="00F011F9"/>
    <w:pPr>
      <w:spacing w:before="100" w:beforeAutospacing="1" w:after="100" w:afterAutospacing="1"/>
      <w:jc w:val="both"/>
    </w:pPr>
    <w:rPr>
      <w:rFonts w:ascii="Times New Roman" w:hAnsi="Times New Roman"/>
      <w:color w:val="52656F"/>
      <w:sz w:val="18"/>
      <w:szCs w:val="18"/>
    </w:rPr>
  </w:style>
  <w:style w:type="character" w:styleId="Refdecomentario">
    <w:name w:val="annotation reference"/>
    <w:semiHidden/>
    <w:rsid w:val="0033115C"/>
    <w:rPr>
      <w:sz w:val="16"/>
      <w:szCs w:val="16"/>
    </w:rPr>
  </w:style>
  <w:style w:type="paragraph" w:styleId="Textocomentario">
    <w:name w:val="annotation text"/>
    <w:basedOn w:val="Normal"/>
    <w:semiHidden/>
    <w:rsid w:val="0033115C"/>
    <w:rPr>
      <w:sz w:val="20"/>
      <w:szCs w:val="20"/>
    </w:rPr>
  </w:style>
  <w:style w:type="paragraph" w:styleId="Asuntodelcomentario">
    <w:name w:val="annotation subject"/>
    <w:basedOn w:val="Textocomentario"/>
    <w:next w:val="Textocomentario"/>
    <w:semiHidden/>
    <w:rsid w:val="0033115C"/>
    <w:rPr>
      <w:b/>
      <w:bCs/>
    </w:rPr>
  </w:style>
  <w:style w:type="paragraph" w:styleId="Revisin">
    <w:name w:val="Revision"/>
    <w:hidden/>
    <w:uiPriority w:val="99"/>
    <w:semiHidden/>
    <w:rsid w:val="001C003B"/>
    <w:rPr>
      <w:rFonts w:ascii="Arial" w:hAnsi="Arial"/>
      <w:sz w:val="24"/>
      <w:szCs w:val="28"/>
    </w:rPr>
  </w:style>
  <w:style w:type="character" w:customStyle="1" w:styleId="hps">
    <w:name w:val="hps"/>
    <w:basedOn w:val="Fuentedeprrafopredeter"/>
    <w:rsid w:val="00203E62"/>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BB86-B5D3-4CCB-AB74-68715C4A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3319</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Wanner</dc:creator>
  <cp:keywords/>
  <cp:lastModifiedBy>Pauline Bergmann</cp:lastModifiedBy>
  <cp:revision>3</cp:revision>
  <cp:lastPrinted>2018-01-09T20:19:00Z</cp:lastPrinted>
  <dcterms:created xsi:type="dcterms:W3CDTF">2022-09-07T06:55:00Z</dcterms:created>
  <dcterms:modified xsi:type="dcterms:W3CDTF">2022-09-15T11:50:00Z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